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C96E2E" w:rsidTr="00FF52BC">
        <w:tc>
          <w:tcPr>
            <w:tcW w:w="9016" w:type="dxa"/>
            <w:gridSpan w:val="4"/>
            <w:shd w:val="clear" w:color="auto" w:fill="84C6D8"/>
          </w:tcPr>
          <w:p w:rsidR="00C96E2E" w:rsidRPr="00C96E2E" w:rsidRDefault="0046137F" w:rsidP="00890037">
            <w:pPr>
              <w:rPr>
                <w:b/>
              </w:rPr>
            </w:pPr>
            <w:r>
              <w:rPr>
                <w:b/>
              </w:rPr>
              <w:t xml:space="preserve">Supporting Individual Learning through Coaching and Mentoring </w:t>
            </w:r>
            <w:r w:rsidR="00912F5A">
              <w:rPr>
                <w:b/>
              </w:rPr>
              <w:t>– 3</w:t>
            </w:r>
            <w:r w:rsidR="00890037">
              <w:rPr>
                <w:b/>
              </w:rPr>
              <w:t>SCO</w:t>
            </w:r>
          </w:p>
        </w:tc>
      </w:tr>
      <w:tr w:rsidR="00C96E2E" w:rsidTr="00C96E2E">
        <w:tc>
          <w:tcPr>
            <w:tcW w:w="2254" w:type="dxa"/>
          </w:tcPr>
          <w:p w:rsidR="00C96E2E" w:rsidRDefault="00C96E2E">
            <w:r>
              <w:t>Learner Name:</w:t>
            </w:r>
          </w:p>
          <w:p w:rsidR="00C96E2E" w:rsidRDefault="00B26CE5">
            <w:r>
              <w:t>James Bancroft</w:t>
            </w:r>
          </w:p>
        </w:tc>
        <w:tc>
          <w:tcPr>
            <w:tcW w:w="2254" w:type="dxa"/>
          </w:tcPr>
          <w:p w:rsidR="00C96E2E" w:rsidRDefault="00C96E2E" w:rsidP="00C96E2E">
            <w:r>
              <w:t xml:space="preserve">Group: </w:t>
            </w:r>
            <w:r w:rsidR="00B85BAD">
              <w:t>LOLAPR20</w:t>
            </w:r>
          </w:p>
          <w:p w:rsidR="00C96E2E" w:rsidRDefault="00C96E2E" w:rsidP="00C96E2E"/>
          <w:p w:rsidR="00C96E2E" w:rsidRDefault="00C96E2E" w:rsidP="00C96E2E">
            <w:r>
              <w:t xml:space="preserve">Tutor: </w:t>
            </w:r>
            <w:r w:rsidR="00B85BAD">
              <w:t>S Greene</w:t>
            </w:r>
          </w:p>
        </w:tc>
        <w:tc>
          <w:tcPr>
            <w:tcW w:w="2254" w:type="dxa"/>
          </w:tcPr>
          <w:p w:rsidR="00C96E2E" w:rsidRDefault="00C96E2E">
            <w:r>
              <w:t xml:space="preserve">Assessor Name: </w:t>
            </w:r>
          </w:p>
          <w:p w:rsidR="00C96E2E" w:rsidRPr="00C96E2E" w:rsidRDefault="00C96E2E" w:rsidP="00C96E2E">
            <w:pPr>
              <w:rPr>
                <w:i/>
              </w:rPr>
            </w:pPr>
            <w:r w:rsidRPr="00C96E2E">
              <w:rPr>
                <w:i/>
              </w:rPr>
              <w:t>(If different to delivery tutor)</w:t>
            </w:r>
          </w:p>
        </w:tc>
        <w:tc>
          <w:tcPr>
            <w:tcW w:w="2254" w:type="dxa"/>
          </w:tcPr>
          <w:p w:rsidR="00C96E2E" w:rsidRDefault="00A50B34">
            <w:r>
              <w:t>19/08</w:t>
            </w:r>
            <w:r w:rsidR="00B85BAD">
              <w:t>/20</w:t>
            </w:r>
          </w:p>
        </w:tc>
      </w:tr>
    </w:tbl>
    <w:p w:rsidR="003B4264" w:rsidRDefault="003B4264"/>
    <w:tbl>
      <w:tblPr>
        <w:tblStyle w:val="TableGrid"/>
        <w:tblW w:w="0" w:type="auto"/>
        <w:tblLook w:val="04A0" w:firstRow="1" w:lastRow="0" w:firstColumn="1" w:lastColumn="0" w:noHBand="0" w:noVBand="1"/>
      </w:tblPr>
      <w:tblGrid>
        <w:gridCol w:w="562"/>
        <w:gridCol w:w="4749"/>
        <w:gridCol w:w="837"/>
        <w:gridCol w:w="2868"/>
      </w:tblGrid>
      <w:tr w:rsidR="00FF52BC" w:rsidTr="00FF52BC">
        <w:tc>
          <w:tcPr>
            <w:tcW w:w="5311" w:type="dxa"/>
            <w:gridSpan w:val="2"/>
            <w:shd w:val="clear" w:color="auto" w:fill="84C6D8"/>
          </w:tcPr>
          <w:p w:rsidR="00FF52BC" w:rsidRPr="003A341F" w:rsidRDefault="00FF52BC" w:rsidP="00890037">
            <w:pPr>
              <w:rPr>
                <w:b/>
                <w:color w:val="FFFFFF" w:themeColor="background1"/>
              </w:rPr>
            </w:pPr>
            <w:r w:rsidRPr="003A341F">
              <w:rPr>
                <w:b/>
                <w:color w:val="FFFFFF" w:themeColor="background1"/>
              </w:rPr>
              <w:t xml:space="preserve">Assessment criteria relating to </w:t>
            </w:r>
            <w:r w:rsidR="00493A58">
              <w:rPr>
                <w:b/>
                <w:color w:val="FFFFFF" w:themeColor="background1"/>
              </w:rPr>
              <w:t>unit</w:t>
            </w:r>
            <w:r w:rsidR="00912F5A">
              <w:rPr>
                <w:b/>
                <w:color w:val="FFFFFF" w:themeColor="background1"/>
              </w:rPr>
              <w:t xml:space="preserve"> 3</w:t>
            </w:r>
            <w:r w:rsidR="00890037">
              <w:rPr>
                <w:b/>
                <w:color w:val="FFFFFF" w:themeColor="background1"/>
              </w:rPr>
              <w:t>SCO</w:t>
            </w:r>
          </w:p>
        </w:tc>
        <w:tc>
          <w:tcPr>
            <w:tcW w:w="837" w:type="dxa"/>
            <w:shd w:val="clear" w:color="auto" w:fill="84C6D8"/>
          </w:tcPr>
          <w:p w:rsidR="00FF52BC" w:rsidRPr="003A341F" w:rsidRDefault="00FF52BC" w:rsidP="003A341F">
            <w:pPr>
              <w:jc w:val="center"/>
              <w:rPr>
                <w:b/>
                <w:color w:val="FFFFFF" w:themeColor="background1"/>
              </w:rPr>
            </w:pPr>
            <w:r w:rsidRPr="003A341F">
              <w:rPr>
                <w:b/>
                <w:color w:val="FFFFFF" w:themeColor="background1"/>
              </w:rPr>
              <w:t>Pass Y/N</w:t>
            </w:r>
          </w:p>
        </w:tc>
        <w:tc>
          <w:tcPr>
            <w:tcW w:w="2868" w:type="dxa"/>
            <w:shd w:val="clear" w:color="auto" w:fill="84C6D8"/>
          </w:tcPr>
          <w:p w:rsidR="00FF52BC" w:rsidRPr="003A341F" w:rsidRDefault="00FF52BC" w:rsidP="003A341F">
            <w:pPr>
              <w:jc w:val="center"/>
              <w:rPr>
                <w:b/>
                <w:color w:val="FFFFFF" w:themeColor="background1"/>
              </w:rPr>
            </w:pPr>
            <w:r w:rsidRPr="003A341F">
              <w:rPr>
                <w:b/>
                <w:color w:val="FFFFFF" w:themeColor="background1"/>
              </w:rPr>
              <w:t>Assessor Comments</w:t>
            </w:r>
          </w:p>
        </w:tc>
      </w:tr>
      <w:tr w:rsidR="00FF52BC" w:rsidTr="00FF52BC">
        <w:tc>
          <w:tcPr>
            <w:tcW w:w="562" w:type="dxa"/>
          </w:tcPr>
          <w:p w:rsidR="00FF52BC" w:rsidRDefault="00912F5A">
            <w:r>
              <w:t>1.1</w:t>
            </w:r>
          </w:p>
        </w:tc>
        <w:tc>
          <w:tcPr>
            <w:tcW w:w="4749" w:type="dxa"/>
          </w:tcPr>
          <w:p w:rsidR="00FF52BC" w:rsidRDefault="005475E1" w:rsidP="005475E1">
            <w:r>
              <w:t>Explain why organisations need to change with reference to internal and external factors.</w:t>
            </w:r>
          </w:p>
        </w:tc>
        <w:tc>
          <w:tcPr>
            <w:tcW w:w="837" w:type="dxa"/>
          </w:tcPr>
          <w:p w:rsidR="00FF52BC" w:rsidRDefault="00F60D57" w:rsidP="00F60D57">
            <w:pPr>
              <w:jc w:val="center"/>
            </w:pPr>
            <w:r>
              <w:t>Y</w:t>
            </w:r>
          </w:p>
        </w:tc>
        <w:tc>
          <w:tcPr>
            <w:tcW w:w="2868" w:type="dxa"/>
          </w:tcPr>
          <w:p w:rsidR="00B66AB4" w:rsidRDefault="00B66AB4">
            <w:r>
              <w:t xml:space="preserve">An introduction to your </w:t>
            </w:r>
            <w:r w:rsidR="00A50B34">
              <w:t xml:space="preserve">primary school </w:t>
            </w:r>
            <w:proofErr w:type="gramStart"/>
            <w:r w:rsidR="00A50B34">
              <w:t>was briefly provided</w:t>
            </w:r>
            <w:proofErr w:type="gramEnd"/>
            <w:r w:rsidR="00A50B34">
              <w:t xml:space="preserve">.  </w:t>
            </w:r>
          </w:p>
          <w:p w:rsidR="00B66AB4" w:rsidRDefault="00B66AB4"/>
          <w:p w:rsidR="00FF52BC" w:rsidRDefault="00B85BAD">
            <w:r>
              <w:t xml:space="preserve">You have explained at least 6 internal and external factors that drive or influence change </w:t>
            </w:r>
            <w:r w:rsidR="001A0740">
              <w:t>within your</w:t>
            </w:r>
            <w:r>
              <w:t xml:space="preserve"> organisation;</w:t>
            </w:r>
          </w:p>
          <w:p w:rsidR="001A0740" w:rsidRDefault="00A50B34" w:rsidP="001A0740">
            <w:pPr>
              <w:pStyle w:val="ListParagraph"/>
              <w:numPr>
                <w:ilvl w:val="0"/>
                <w:numId w:val="2"/>
              </w:numPr>
            </w:pPr>
            <w:r>
              <w:t>Technological factors</w:t>
            </w:r>
          </w:p>
          <w:p w:rsidR="001A0740" w:rsidRDefault="00A50B34" w:rsidP="001A0740">
            <w:pPr>
              <w:pStyle w:val="ListParagraph"/>
              <w:numPr>
                <w:ilvl w:val="0"/>
                <w:numId w:val="2"/>
              </w:numPr>
            </w:pPr>
            <w:r>
              <w:t>Political factors</w:t>
            </w:r>
          </w:p>
          <w:p w:rsidR="001A0740" w:rsidRDefault="001A0740" w:rsidP="001A0740">
            <w:pPr>
              <w:pStyle w:val="ListParagraph"/>
              <w:numPr>
                <w:ilvl w:val="0"/>
                <w:numId w:val="2"/>
              </w:numPr>
            </w:pPr>
            <w:r>
              <w:t>Structural change</w:t>
            </w:r>
          </w:p>
          <w:p w:rsidR="001A0740" w:rsidRDefault="001A0740" w:rsidP="001A0740">
            <w:pPr>
              <w:pStyle w:val="ListParagraph"/>
              <w:numPr>
                <w:ilvl w:val="0"/>
                <w:numId w:val="2"/>
              </w:numPr>
            </w:pPr>
            <w:r>
              <w:t>Covid</w:t>
            </w:r>
            <w:r w:rsidR="00EA3055">
              <w:t>-19</w:t>
            </w:r>
          </w:p>
          <w:p w:rsidR="001A0740" w:rsidRDefault="00A50B34" w:rsidP="001A0740">
            <w:pPr>
              <w:pStyle w:val="ListParagraph"/>
              <w:numPr>
                <w:ilvl w:val="0"/>
                <w:numId w:val="2"/>
              </w:numPr>
            </w:pPr>
            <w:r>
              <w:t xml:space="preserve">Additional safeguarding mean employees need to work differently </w:t>
            </w:r>
          </w:p>
          <w:p w:rsidR="00A50B34" w:rsidRDefault="00770986" w:rsidP="001A0740">
            <w:pPr>
              <w:pStyle w:val="ListParagraph"/>
              <w:numPr>
                <w:ilvl w:val="0"/>
                <w:numId w:val="2"/>
              </w:numPr>
            </w:pPr>
            <w:r>
              <w:t xml:space="preserve">Cuts in income </w:t>
            </w:r>
            <w:bookmarkStart w:id="0" w:name="_GoBack"/>
            <w:bookmarkEnd w:id="0"/>
          </w:p>
          <w:p w:rsidR="001A0740" w:rsidRDefault="001A0740" w:rsidP="001A0740">
            <w:r>
              <w:t>Some very relevant and contemporary factors identified here which was very good.</w:t>
            </w:r>
          </w:p>
          <w:p w:rsidR="00B85BAD" w:rsidRDefault="00B85BAD"/>
        </w:tc>
      </w:tr>
      <w:tr w:rsidR="00FF52BC" w:rsidTr="00FF52BC">
        <w:tc>
          <w:tcPr>
            <w:tcW w:w="562" w:type="dxa"/>
          </w:tcPr>
          <w:p w:rsidR="00FF52BC" w:rsidRDefault="00912F5A">
            <w:r>
              <w:t>1.2</w:t>
            </w:r>
          </w:p>
        </w:tc>
        <w:tc>
          <w:tcPr>
            <w:tcW w:w="4749" w:type="dxa"/>
          </w:tcPr>
          <w:p w:rsidR="00FF52BC" w:rsidRDefault="005475E1" w:rsidP="00912F5A">
            <w:r>
              <w:t>Explain how change can impact an organisation’s business.</w:t>
            </w:r>
          </w:p>
        </w:tc>
        <w:tc>
          <w:tcPr>
            <w:tcW w:w="837" w:type="dxa"/>
          </w:tcPr>
          <w:p w:rsidR="00FF52BC" w:rsidRDefault="00F60D57" w:rsidP="00F60D57">
            <w:pPr>
              <w:jc w:val="center"/>
            </w:pPr>
            <w:r>
              <w:t>Y</w:t>
            </w:r>
          </w:p>
        </w:tc>
        <w:tc>
          <w:tcPr>
            <w:tcW w:w="2868" w:type="dxa"/>
          </w:tcPr>
          <w:p w:rsidR="00FF52BC" w:rsidRDefault="00B85BAD">
            <w:r>
              <w:t>At least 3 ways in which change affects an organisation and its business has been explained;</w:t>
            </w:r>
          </w:p>
          <w:p w:rsidR="001A0740" w:rsidRDefault="00A50B34" w:rsidP="001A0740">
            <w:pPr>
              <w:pStyle w:val="ListParagraph"/>
              <w:numPr>
                <w:ilvl w:val="0"/>
                <w:numId w:val="3"/>
              </w:numPr>
            </w:pPr>
            <w:r>
              <w:t>Reduced staff retention</w:t>
            </w:r>
          </w:p>
          <w:p w:rsidR="001A0740" w:rsidRDefault="00A50B34" w:rsidP="001A0740">
            <w:pPr>
              <w:pStyle w:val="ListParagraph"/>
              <w:numPr>
                <w:ilvl w:val="0"/>
                <w:numId w:val="3"/>
              </w:numPr>
            </w:pPr>
            <w:r>
              <w:t>Impact on morale and engagement</w:t>
            </w:r>
          </w:p>
          <w:p w:rsidR="001A0740" w:rsidRDefault="001A0740" w:rsidP="001A0740">
            <w:pPr>
              <w:pStyle w:val="ListParagraph"/>
              <w:numPr>
                <w:ilvl w:val="0"/>
                <w:numId w:val="3"/>
              </w:numPr>
            </w:pPr>
            <w:r>
              <w:t>Increased business efficiencies</w:t>
            </w:r>
            <w:r w:rsidR="00A50B34">
              <w:t xml:space="preserve"> and improved results for the school</w:t>
            </w:r>
          </w:p>
          <w:p w:rsidR="00B85BAD" w:rsidRDefault="001A0740" w:rsidP="001A0740">
            <w:r>
              <w:t xml:space="preserve">It was interesting to see that you have identified both positive and negative effects of change as well as some relevant to your organisation, well done.  </w:t>
            </w:r>
          </w:p>
          <w:p w:rsidR="001A0740" w:rsidRDefault="001A0740" w:rsidP="001A0740"/>
        </w:tc>
      </w:tr>
      <w:tr w:rsidR="00FF52BC" w:rsidTr="00FF52BC">
        <w:tc>
          <w:tcPr>
            <w:tcW w:w="562" w:type="dxa"/>
          </w:tcPr>
          <w:p w:rsidR="00FF52BC" w:rsidRDefault="0046137F">
            <w:r>
              <w:lastRenderedPageBreak/>
              <w:t>2.1</w:t>
            </w:r>
          </w:p>
        </w:tc>
        <w:tc>
          <w:tcPr>
            <w:tcW w:w="4749" w:type="dxa"/>
          </w:tcPr>
          <w:p w:rsidR="00117259" w:rsidRDefault="005475E1" w:rsidP="00620AB5">
            <w:r>
              <w:t>Explain the main factors involved in the change process.</w:t>
            </w:r>
          </w:p>
        </w:tc>
        <w:tc>
          <w:tcPr>
            <w:tcW w:w="837" w:type="dxa"/>
          </w:tcPr>
          <w:p w:rsidR="00FF52BC" w:rsidRDefault="00F60D57" w:rsidP="00F60D57">
            <w:pPr>
              <w:jc w:val="center"/>
            </w:pPr>
            <w:r>
              <w:t>Y</w:t>
            </w:r>
          </w:p>
        </w:tc>
        <w:tc>
          <w:tcPr>
            <w:tcW w:w="2868" w:type="dxa"/>
          </w:tcPr>
          <w:p w:rsidR="00FF52BC" w:rsidRDefault="00B85BAD">
            <w:r>
              <w:t>At least 4 key factors involved in the change process have been explained;</w:t>
            </w:r>
          </w:p>
          <w:p w:rsidR="001A0740" w:rsidRDefault="001A0740" w:rsidP="001A0740">
            <w:pPr>
              <w:pStyle w:val="ListParagraph"/>
              <w:numPr>
                <w:ilvl w:val="0"/>
                <w:numId w:val="4"/>
              </w:numPr>
            </w:pPr>
            <w:r>
              <w:t>Communication</w:t>
            </w:r>
          </w:p>
          <w:p w:rsidR="001A0740" w:rsidRDefault="001A0740" w:rsidP="001A0740">
            <w:pPr>
              <w:pStyle w:val="ListParagraph"/>
              <w:numPr>
                <w:ilvl w:val="0"/>
                <w:numId w:val="4"/>
              </w:numPr>
            </w:pPr>
            <w:r>
              <w:t>Strong leadership</w:t>
            </w:r>
          </w:p>
          <w:p w:rsidR="001A0740" w:rsidRDefault="001A0740" w:rsidP="001A0740">
            <w:pPr>
              <w:pStyle w:val="ListParagraph"/>
              <w:numPr>
                <w:ilvl w:val="0"/>
                <w:numId w:val="4"/>
              </w:numPr>
            </w:pPr>
            <w:r>
              <w:t>Action plan</w:t>
            </w:r>
            <w:r w:rsidR="00A50B34">
              <w:t>s</w:t>
            </w:r>
          </w:p>
          <w:p w:rsidR="001A0740" w:rsidRDefault="00A50B34" w:rsidP="001A0740">
            <w:pPr>
              <w:pStyle w:val="ListParagraph"/>
              <w:numPr>
                <w:ilvl w:val="0"/>
                <w:numId w:val="4"/>
              </w:numPr>
            </w:pPr>
            <w:r>
              <w:t>Staff involvement and gaining feedback from stakeholders</w:t>
            </w:r>
          </w:p>
          <w:p w:rsidR="003147B9" w:rsidRDefault="00A50B34" w:rsidP="003147B9">
            <w:r>
              <w:t xml:space="preserve">You have also drawn upon your own experiences of change and how change is managed in the </w:t>
            </w:r>
            <w:proofErr w:type="gramStart"/>
            <w:r>
              <w:t>school which</w:t>
            </w:r>
            <w:proofErr w:type="gramEnd"/>
            <w:r>
              <w:t xml:space="preserve"> is good.  </w:t>
            </w:r>
          </w:p>
          <w:p w:rsidR="00B85BAD" w:rsidRDefault="00B85BAD" w:rsidP="00A50B34"/>
        </w:tc>
      </w:tr>
      <w:tr w:rsidR="00E65CCE" w:rsidTr="00FF52BC">
        <w:tc>
          <w:tcPr>
            <w:tcW w:w="562" w:type="dxa"/>
          </w:tcPr>
          <w:p w:rsidR="00E65CCE" w:rsidRDefault="0046137F" w:rsidP="00FF52BC">
            <w:r>
              <w:t>2.2</w:t>
            </w:r>
          </w:p>
        </w:tc>
        <w:tc>
          <w:tcPr>
            <w:tcW w:w="4749" w:type="dxa"/>
          </w:tcPr>
          <w:p w:rsidR="00E65CCE" w:rsidRDefault="00B85BAD" w:rsidP="00074DAF">
            <w:r>
              <w:t>Compare and contras</w:t>
            </w:r>
            <w:r w:rsidR="005475E1">
              <w:t>t different approaches to managing change.</w:t>
            </w:r>
          </w:p>
        </w:tc>
        <w:tc>
          <w:tcPr>
            <w:tcW w:w="837" w:type="dxa"/>
          </w:tcPr>
          <w:p w:rsidR="00E65CCE" w:rsidRDefault="00F60D57" w:rsidP="00F60D57">
            <w:pPr>
              <w:jc w:val="center"/>
            </w:pPr>
            <w:r>
              <w:t>Y</w:t>
            </w:r>
          </w:p>
        </w:tc>
        <w:tc>
          <w:tcPr>
            <w:tcW w:w="2868" w:type="dxa"/>
          </w:tcPr>
          <w:p w:rsidR="00E65CCE" w:rsidRDefault="00B85BAD">
            <w:r>
              <w:t xml:space="preserve">At least 3 different approaches to managing change have been </w:t>
            </w:r>
            <w:r w:rsidR="00770986">
              <w:t xml:space="preserve">comprehensively </w:t>
            </w:r>
            <w:r>
              <w:t>compared and contrasted;</w:t>
            </w:r>
          </w:p>
          <w:p w:rsidR="003147B9" w:rsidRDefault="003147B9" w:rsidP="003147B9">
            <w:pPr>
              <w:pStyle w:val="ListParagraph"/>
              <w:numPr>
                <w:ilvl w:val="0"/>
                <w:numId w:val="5"/>
              </w:numPr>
            </w:pPr>
            <w:r>
              <w:t>Kotter</w:t>
            </w:r>
          </w:p>
          <w:p w:rsidR="003147B9" w:rsidRDefault="003147B9" w:rsidP="003147B9">
            <w:pPr>
              <w:pStyle w:val="ListParagraph"/>
              <w:numPr>
                <w:ilvl w:val="0"/>
                <w:numId w:val="5"/>
              </w:numPr>
            </w:pPr>
            <w:r>
              <w:t>Lewin</w:t>
            </w:r>
          </w:p>
          <w:p w:rsidR="003147B9" w:rsidRDefault="003147B9" w:rsidP="003147B9">
            <w:pPr>
              <w:pStyle w:val="ListParagraph"/>
              <w:numPr>
                <w:ilvl w:val="0"/>
                <w:numId w:val="5"/>
              </w:numPr>
            </w:pPr>
            <w:r>
              <w:t>CIPD model</w:t>
            </w:r>
          </w:p>
          <w:p w:rsidR="003147B9" w:rsidRDefault="00770986" w:rsidP="003147B9">
            <w:r>
              <w:t xml:space="preserve">You have also identified the aspects of the </w:t>
            </w:r>
            <w:proofErr w:type="gramStart"/>
            <w:r>
              <w:t>models which</w:t>
            </w:r>
            <w:proofErr w:type="gramEnd"/>
            <w:r>
              <w:t xml:space="preserve"> would drive change effectively within your school which was excellent.  </w:t>
            </w:r>
          </w:p>
          <w:p w:rsidR="00B85BAD" w:rsidRDefault="00B85BAD" w:rsidP="00770986"/>
        </w:tc>
      </w:tr>
      <w:tr w:rsidR="00074DAF" w:rsidTr="00FF52BC">
        <w:tc>
          <w:tcPr>
            <w:tcW w:w="562" w:type="dxa"/>
          </w:tcPr>
          <w:p w:rsidR="00074DAF" w:rsidRDefault="005475E1" w:rsidP="00FF52BC">
            <w:r>
              <w:t>3.1</w:t>
            </w:r>
          </w:p>
        </w:tc>
        <w:tc>
          <w:tcPr>
            <w:tcW w:w="4749" w:type="dxa"/>
          </w:tcPr>
          <w:p w:rsidR="00074DAF" w:rsidRDefault="005475E1" w:rsidP="005475E1">
            <w:r>
              <w:t>Compare and contrast the different behavioural responses people may demonstrate when an organisation is experiencing change.</w:t>
            </w:r>
          </w:p>
        </w:tc>
        <w:tc>
          <w:tcPr>
            <w:tcW w:w="837" w:type="dxa"/>
          </w:tcPr>
          <w:p w:rsidR="00074DAF" w:rsidRDefault="00F60D57" w:rsidP="00F60D57">
            <w:pPr>
              <w:jc w:val="center"/>
            </w:pPr>
            <w:r>
              <w:t>Y</w:t>
            </w:r>
          </w:p>
        </w:tc>
        <w:tc>
          <w:tcPr>
            <w:tcW w:w="2868" w:type="dxa"/>
          </w:tcPr>
          <w:p w:rsidR="00074DAF" w:rsidRDefault="00B85BAD">
            <w:r>
              <w:t>Three different behavioural responses have been identified and described when change occurs within an organisation;</w:t>
            </w:r>
          </w:p>
          <w:p w:rsidR="00770986" w:rsidRDefault="00770986" w:rsidP="00124CCE">
            <w:pPr>
              <w:pStyle w:val="ListParagraph"/>
              <w:numPr>
                <w:ilvl w:val="0"/>
                <w:numId w:val="6"/>
              </w:numPr>
            </w:pPr>
            <w:r>
              <w:t>Shock</w:t>
            </w:r>
          </w:p>
          <w:p w:rsidR="003147B9" w:rsidRDefault="00770986" w:rsidP="00124CCE">
            <w:pPr>
              <w:pStyle w:val="ListParagraph"/>
              <w:numPr>
                <w:ilvl w:val="0"/>
                <w:numId w:val="6"/>
              </w:numPr>
            </w:pPr>
            <w:r>
              <w:t>Denial</w:t>
            </w:r>
          </w:p>
          <w:p w:rsidR="003147B9" w:rsidRDefault="00770986" w:rsidP="003147B9">
            <w:pPr>
              <w:pStyle w:val="ListParagraph"/>
              <w:numPr>
                <w:ilvl w:val="0"/>
                <w:numId w:val="6"/>
              </w:numPr>
            </w:pPr>
            <w:r>
              <w:t>Acceptance</w:t>
            </w:r>
          </w:p>
          <w:p w:rsidR="003147B9" w:rsidRDefault="003147B9" w:rsidP="003147B9">
            <w:r>
              <w:t>The impact of these responses on the business and stakeholders have also been explained which is good.</w:t>
            </w:r>
          </w:p>
          <w:p w:rsidR="003147B9" w:rsidRDefault="003147B9" w:rsidP="003147B9">
            <w:r>
              <w:t xml:space="preserve">It is useful that you have also drawn upon the work of </w:t>
            </w:r>
            <w:proofErr w:type="spellStart"/>
            <w:r>
              <w:t>Kubler</w:t>
            </w:r>
            <w:proofErr w:type="spellEnd"/>
            <w:r>
              <w:t>-Ross to give</w:t>
            </w:r>
            <w:r w:rsidR="00770986">
              <w:t xml:space="preserve"> credibility to your reasoning as well as providing examples of each to demonstrate understanding.  This section was excellent, well done.  </w:t>
            </w:r>
          </w:p>
          <w:p w:rsidR="00B85BAD" w:rsidRDefault="00B85BAD"/>
        </w:tc>
      </w:tr>
      <w:tr w:rsidR="00074DAF" w:rsidTr="00FF52BC">
        <w:tc>
          <w:tcPr>
            <w:tcW w:w="562" w:type="dxa"/>
          </w:tcPr>
          <w:p w:rsidR="00074DAF" w:rsidRDefault="005475E1" w:rsidP="00FF52BC">
            <w:r>
              <w:lastRenderedPageBreak/>
              <w:t>3.2</w:t>
            </w:r>
          </w:p>
        </w:tc>
        <w:tc>
          <w:tcPr>
            <w:tcW w:w="4749" w:type="dxa"/>
          </w:tcPr>
          <w:p w:rsidR="00074DAF" w:rsidRDefault="005475E1" w:rsidP="0046137F">
            <w:r>
              <w:t xml:space="preserve">Explain the role of HR in supporting individuals during organisational change. </w:t>
            </w:r>
          </w:p>
        </w:tc>
        <w:tc>
          <w:tcPr>
            <w:tcW w:w="837" w:type="dxa"/>
          </w:tcPr>
          <w:p w:rsidR="00074DAF" w:rsidRDefault="00F60D57" w:rsidP="00F60D57">
            <w:pPr>
              <w:jc w:val="center"/>
            </w:pPr>
            <w:r>
              <w:t>Y</w:t>
            </w:r>
          </w:p>
        </w:tc>
        <w:tc>
          <w:tcPr>
            <w:tcW w:w="2868" w:type="dxa"/>
          </w:tcPr>
          <w:p w:rsidR="00074DAF" w:rsidRDefault="00B85BAD">
            <w:r>
              <w:t xml:space="preserve">At least three ways in which HR can support individuals during </w:t>
            </w:r>
            <w:proofErr w:type="gramStart"/>
            <w:r>
              <w:t xml:space="preserve">have been </w:t>
            </w:r>
            <w:r w:rsidR="00770986">
              <w:t>explained</w:t>
            </w:r>
            <w:proofErr w:type="gramEnd"/>
            <w:r w:rsidR="00770986">
              <w:t>.</w:t>
            </w:r>
          </w:p>
          <w:p w:rsidR="004F5049" w:rsidRDefault="004F5049" w:rsidP="00770986"/>
        </w:tc>
      </w:tr>
    </w:tbl>
    <w:p w:rsidR="00C96E2E" w:rsidRDefault="00C96E2E"/>
    <w:tbl>
      <w:tblPr>
        <w:tblStyle w:val="TableGrid"/>
        <w:tblW w:w="0" w:type="auto"/>
        <w:tblLook w:val="04A0" w:firstRow="1" w:lastRow="0" w:firstColumn="1" w:lastColumn="0" w:noHBand="0" w:noVBand="1"/>
      </w:tblPr>
      <w:tblGrid>
        <w:gridCol w:w="4508"/>
        <w:gridCol w:w="4508"/>
      </w:tblGrid>
      <w:tr w:rsidR="00C96E2E" w:rsidTr="00FF52BC">
        <w:tc>
          <w:tcPr>
            <w:tcW w:w="4508" w:type="dxa"/>
            <w:shd w:val="clear" w:color="auto" w:fill="84C6D8"/>
          </w:tcPr>
          <w:p w:rsidR="00C96E2E" w:rsidRPr="003A341F" w:rsidRDefault="00C96E2E" w:rsidP="00FF52BC">
            <w:pPr>
              <w:rPr>
                <w:b/>
                <w:color w:val="FFFFFF" w:themeColor="background1"/>
              </w:rPr>
            </w:pPr>
            <w:r w:rsidRPr="003A341F">
              <w:rPr>
                <w:b/>
                <w:color w:val="FFFFFF" w:themeColor="background1"/>
              </w:rPr>
              <w:t>Assessment Decision (Pass/Refer)</w:t>
            </w:r>
          </w:p>
          <w:p w:rsidR="003A341F" w:rsidRDefault="003A341F">
            <w:pPr>
              <w:rPr>
                <w:b/>
                <w:color w:val="FFFFFF" w:themeColor="background1"/>
              </w:rPr>
            </w:pPr>
          </w:p>
          <w:p w:rsidR="004F5049" w:rsidRDefault="004F5049">
            <w:pPr>
              <w:rPr>
                <w:b/>
                <w:color w:val="FFFFFF" w:themeColor="background1"/>
              </w:rPr>
            </w:pPr>
          </w:p>
          <w:p w:rsidR="004F5049" w:rsidRPr="003A341F" w:rsidRDefault="004F5049">
            <w:pPr>
              <w:rPr>
                <w:b/>
                <w:color w:val="FFFFFF" w:themeColor="background1"/>
              </w:rPr>
            </w:pPr>
            <w:r>
              <w:rPr>
                <w:b/>
                <w:color w:val="FFFFFF" w:themeColor="background1"/>
              </w:rPr>
              <w:t>Pass</w:t>
            </w:r>
          </w:p>
        </w:tc>
        <w:tc>
          <w:tcPr>
            <w:tcW w:w="4508" w:type="dxa"/>
          </w:tcPr>
          <w:p w:rsidR="00C96E2E" w:rsidRDefault="00C96E2E">
            <w:pPr>
              <w:rPr>
                <w:color w:val="FFFFFF" w:themeColor="background1"/>
              </w:rPr>
            </w:pPr>
          </w:p>
          <w:p w:rsidR="00EC7E23" w:rsidRDefault="00EC7E23">
            <w:pPr>
              <w:rPr>
                <w:color w:val="FFFFFF" w:themeColor="background1"/>
              </w:rPr>
            </w:pPr>
          </w:p>
          <w:p w:rsidR="00EC7E23" w:rsidRDefault="00EC7E23">
            <w:pPr>
              <w:rPr>
                <w:color w:val="FFFFFF" w:themeColor="background1"/>
              </w:rPr>
            </w:pPr>
          </w:p>
          <w:p w:rsidR="00EC7E23" w:rsidRPr="003A341F" w:rsidRDefault="00EC7E23" w:rsidP="00EC7E23">
            <w:pPr>
              <w:rPr>
                <w:color w:val="FFFFFF" w:themeColor="background1"/>
              </w:rPr>
            </w:pPr>
            <w:r>
              <w:rPr>
                <w:rFonts w:ascii="Arial" w:hAnsi="Arial" w:cs="Arial"/>
                <w:bCs/>
                <w:i/>
                <w:color w:val="00AAA5"/>
                <w:sz w:val="20"/>
                <w:szCs w:val="20"/>
              </w:rPr>
              <w:t>Students receiving a refer mark have 1 week from the date feedback was provided on the VLE to upload their resubmission, unless otherwise agreed with MOL.</w:t>
            </w:r>
          </w:p>
        </w:tc>
      </w:tr>
      <w:tr w:rsidR="00C96E2E" w:rsidTr="00FF52BC">
        <w:tc>
          <w:tcPr>
            <w:tcW w:w="4508" w:type="dxa"/>
            <w:shd w:val="clear" w:color="auto" w:fill="84C6D8"/>
          </w:tcPr>
          <w:p w:rsidR="00C96E2E" w:rsidRDefault="00C96E2E" w:rsidP="003A341F">
            <w:pPr>
              <w:rPr>
                <w:b/>
                <w:color w:val="FFFFFF" w:themeColor="background1"/>
              </w:rPr>
            </w:pPr>
            <w:r w:rsidRPr="003A341F">
              <w:rPr>
                <w:b/>
                <w:color w:val="FFFFFF" w:themeColor="background1"/>
              </w:rPr>
              <w:t>Strengths</w:t>
            </w:r>
          </w:p>
          <w:p w:rsidR="00741231" w:rsidRDefault="00741231" w:rsidP="003A341F">
            <w:pPr>
              <w:rPr>
                <w:b/>
                <w:color w:val="FFFFFF" w:themeColor="background1"/>
              </w:rPr>
            </w:pPr>
          </w:p>
          <w:p w:rsidR="00741231" w:rsidRDefault="00741231" w:rsidP="003A341F">
            <w:pPr>
              <w:rPr>
                <w:b/>
                <w:color w:val="FFFFFF" w:themeColor="background1"/>
              </w:rPr>
            </w:pPr>
          </w:p>
          <w:p w:rsidR="00741231" w:rsidRDefault="00741231" w:rsidP="003A341F">
            <w:pPr>
              <w:rPr>
                <w:b/>
                <w:color w:val="FFFFFF" w:themeColor="background1"/>
              </w:rPr>
            </w:pPr>
          </w:p>
          <w:p w:rsidR="003A341F" w:rsidRPr="003A341F" w:rsidRDefault="003A341F" w:rsidP="003A341F">
            <w:pPr>
              <w:rPr>
                <w:b/>
                <w:color w:val="FFFFFF" w:themeColor="background1"/>
              </w:rPr>
            </w:pPr>
          </w:p>
        </w:tc>
        <w:tc>
          <w:tcPr>
            <w:tcW w:w="4508" w:type="dxa"/>
            <w:shd w:val="clear" w:color="auto" w:fill="84C6D8"/>
          </w:tcPr>
          <w:p w:rsidR="00C96E2E" w:rsidRPr="003A341F" w:rsidRDefault="00C96E2E" w:rsidP="003A341F">
            <w:pPr>
              <w:rPr>
                <w:b/>
                <w:color w:val="FFFFFF" w:themeColor="background1"/>
              </w:rPr>
            </w:pPr>
            <w:r w:rsidRPr="003A341F">
              <w:rPr>
                <w:b/>
                <w:color w:val="FFFFFF" w:themeColor="background1"/>
              </w:rPr>
              <w:t>Areas for Improvement</w:t>
            </w:r>
          </w:p>
        </w:tc>
      </w:tr>
      <w:tr w:rsidR="00C96E2E" w:rsidTr="00C96E2E">
        <w:tc>
          <w:tcPr>
            <w:tcW w:w="4508" w:type="dxa"/>
          </w:tcPr>
          <w:p w:rsidR="00C96E2E" w:rsidRDefault="00C96E2E"/>
          <w:p w:rsidR="00741231" w:rsidRDefault="00741231" w:rsidP="00C65E8E">
            <w:pPr>
              <w:pStyle w:val="ListParagraph"/>
              <w:numPr>
                <w:ilvl w:val="0"/>
                <w:numId w:val="1"/>
              </w:numPr>
              <w:spacing w:after="160" w:line="259" w:lineRule="auto"/>
            </w:pPr>
            <w:r>
              <w:t xml:space="preserve">Comprehensive evidence </w:t>
            </w:r>
            <w:proofErr w:type="gramStart"/>
            <w:r>
              <w:t>has been provided</w:t>
            </w:r>
            <w:proofErr w:type="gramEnd"/>
            <w:r>
              <w:t xml:space="preserve"> to demonstrate a sound understanding of organisational change, the factors involved in the change process, different approaches to managing change, the impact of change and the role of the HR function in supporting change.  </w:t>
            </w:r>
          </w:p>
          <w:p w:rsidR="001A0740" w:rsidRDefault="00770986" w:rsidP="00C65E8E">
            <w:pPr>
              <w:pStyle w:val="ListParagraph"/>
              <w:numPr>
                <w:ilvl w:val="0"/>
                <w:numId w:val="1"/>
              </w:numPr>
              <w:spacing w:after="160" w:line="259" w:lineRule="auto"/>
            </w:pPr>
            <w:r>
              <w:t xml:space="preserve">Some good </w:t>
            </w:r>
            <w:r w:rsidR="001A0740">
              <w:t xml:space="preserve">application of workplace examples </w:t>
            </w:r>
            <w:r w:rsidR="00EA3055">
              <w:t xml:space="preserve">in places </w:t>
            </w:r>
            <w:r w:rsidR="001A0740">
              <w:t xml:space="preserve">to validate understanding.  </w:t>
            </w:r>
          </w:p>
          <w:p w:rsidR="00741231" w:rsidRDefault="00741231" w:rsidP="00C65E8E">
            <w:pPr>
              <w:pStyle w:val="ListParagraph"/>
              <w:numPr>
                <w:ilvl w:val="0"/>
                <w:numId w:val="1"/>
              </w:numPr>
              <w:spacing w:after="160" w:line="259" w:lineRule="auto"/>
            </w:pPr>
            <w:r>
              <w:t xml:space="preserve">The majority of the assessment criteria </w:t>
            </w:r>
            <w:proofErr w:type="gramStart"/>
            <w:r>
              <w:t>has been comprehensively and explicitly addressed</w:t>
            </w:r>
            <w:proofErr w:type="gramEnd"/>
            <w:r>
              <w:t>.</w:t>
            </w:r>
          </w:p>
          <w:p w:rsidR="00770986" w:rsidRDefault="00741231" w:rsidP="00CF4A84">
            <w:pPr>
              <w:pStyle w:val="ListParagraph"/>
              <w:numPr>
                <w:ilvl w:val="0"/>
                <w:numId w:val="1"/>
              </w:numPr>
              <w:spacing w:after="160" w:line="259" w:lineRule="auto"/>
            </w:pPr>
            <w:r>
              <w:t xml:space="preserve">A reference list </w:t>
            </w:r>
            <w:proofErr w:type="gramStart"/>
            <w:r>
              <w:t>has been provided</w:t>
            </w:r>
            <w:proofErr w:type="gramEnd"/>
            <w:r>
              <w:t xml:space="preserve">.  </w:t>
            </w:r>
          </w:p>
          <w:p w:rsidR="00C96E2E" w:rsidRDefault="00741231" w:rsidP="00CF4A84">
            <w:pPr>
              <w:pStyle w:val="ListParagraph"/>
              <w:numPr>
                <w:ilvl w:val="0"/>
                <w:numId w:val="1"/>
              </w:numPr>
              <w:spacing w:after="160" w:line="259" w:lineRule="auto"/>
            </w:pPr>
            <w:r>
              <w:t xml:space="preserve">The assessment </w:t>
            </w:r>
            <w:proofErr w:type="gramStart"/>
            <w:r>
              <w:t>has been submitted</w:t>
            </w:r>
            <w:proofErr w:type="gramEnd"/>
            <w:r>
              <w:t xml:space="preserve"> within the word count.  </w:t>
            </w:r>
          </w:p>
          <w:p w:rsidR="00741231" w:rsidRDefault="00741231" w:rsidP="001A0740">
            <w:pPr>
              <w:pStyle w:val="ListParagraph"/>
              <w:spacing w:after="160" w:line="259" w:lineRule="auto"/>
            </w:pPr>
          </w:p>
        </w:tc>
        <w:tc>
          <w:tcPr>
            <w:tcW w:w="4508" w:type="dxa"/>
          </w:tcPr>
          <w:p w:rsidR="00EA3055" w:rsidRDefault="00EA3055" w:rsidP="00EA3055">
            <w:pPr>
              <w:pStyle w:val="ListParagraph"/>
              <w:spacing w:after="160" w:line="259" w:lineRule="auto"/>
            </w:pPr>
          </w:p>
          <w:p w:rsidR="00A50B34" w:rsidRDefault="00A50B34" w:rsidP="00741231">
            <w:pPr>
              <w:pStyle w:val="ListParagraph"/>
              <w:numPr>
                <w:ilvl w:val="0"/>
                <w:numId w:val="1"/>
              </w:numPr>
              <w:spacing w:after="160" w:line="259" w:lineRule="auto"/>
            </w:pPr>
            <w:r>
              <w:t xml:space="preserve">Provide a contents sheet.  </w:t>
            </w:r>
          </w:p>
          <w:p w:rsidR="00A50B34" w:rsidRDefault="00770986" w:rsidP="00741231">
            <w:pPr>
              <w:pStyle w:val="ListParagraph"/>
              <w:numPr>
                <w:ilvl w:val="0"/>
                <w:numId w:val="1"/>
              </w:numPr>
              <w:spacing w:after="160" w:line="259" w:lineRule="auto"/>
            </w:pPr>
            <w:r>
              <w:t xml:space="preserve">I found your work difficult to </w:t>
            </w:r>
            <w:proofErr w:type="gramStart"/>
            <w:r>
              <w:t>mark</w:t>
            </w:r>
            <w:proofErr w:type="gramEnd"/>
            <w:r>
              <w:t xml:space="preserve"> as you hadn’t split it into sections to illustrate which section you were answering.  </w:t>
            </w:r>
            <w:proofErr w:type="gramStart"/>
            <w:r>
              <w:t>Also</w:t>
            </w:r>
            <w:proofErr w:type="gramEnd"/>
            <w:r>
              <w:t xml:space="preserve">, as the scenario was a formal report it is important to structure your work in this way with sub headings such as Introduction, Findings etc.  </w:t>
            </w:r>
          </w:p>
          <w:p w:rsidR="00741231" w:rsidRDefault="00741231" w:rsidP="00770986">
            <w:pPr>
              <w:ind w:left="360"/>
            </w:pPr>
            <w:r>
              <w:t xml:space="preserve"> </w:t>
            </w:r>
          </w:p>
          <w:p w:rsidR="00C96E2E" w:rsidRDefault="00C96E2E" w:rsidP="00EA3055">
            <w:pPr>
              <w:pStyle w:val="ListParagraph"/>
            </w:pPr>
          </w:p>
        </w:tc>
      </w:tr>
    </w:tbl>
    <w:p w:rsidR="00C96E2E" w:rsidRDefault="00C96E2E"/>
    <w:sectPr w:rsidR="00C96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63"/>
    <w:multiLevelType w:val="hybridMultilevel"/>
    <w:tmpl w:val="5B6E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C5D69"/>
    <w:multiLevelType w:val="hybridMultilevel"/>
    <w:tmpl w:val="62C0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C4F45"/>
    <w:multiLevelType w:val="hybridMultilevel"/>
    <w:tmpl w:val="ACDC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D01E8"/>
    <w:multiLevelType w:val="hybridMultilevel"/>
    <w:tmpl w:val="7B54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564E0"/>
    <w:multiLevelType w:val="hybridMultilevel"/>
    <w:tmpl w:val="841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83204"/>
    <w:multiLevelType w:val="hybridMultilevel"/>
    <w:tmpl w:val="F2F0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6B5F"/>
    <w:multiLevelType w:val="hybridMultilevel"/>
    <w:tmpl w:val="E2E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2E"/>
    <w:rsid w:val="00074DAF"/>
    <w:rsid w:val="00117259"/>
    <w:rsid w:val="001A0740"/>
    <w:rsid w:val="002C00F9"/>
    <w:rsid w:val="003147B9"/>
    <w:rsid w:val="003A341F"/>
    <w:rsid w:val="003B4264"/>
    <w:rsid w:val="0046137F"/>
    <w:rsid w:val="00493A58"/>
    <w:rsid w:val="004F5049"/>
    <w:rsid w:val="005475E1"/>
    <w:rsid w:val="006204A4"/>
    <w:rsid w:val="00620AB5"/>
    <w:rsid w:val="00741231"/>
    <w:rsid w:val="00743076"/>
    <w:rsid w:val="0076290D"/>
    <w:rsid w:val="00770986"/>
    <w:rsid w:val="00890037"/>
    <w:rsid w:val="00912F5A"/>
    <w:rsid w:val="009603DC"/>
    <w:rsid w:val="00A50B34"/>
    <w:rsid w:val="00B26CE5"/>
    <w:rsid w:val="00B66AB4"/>
    <w:rsid w:val="00B85BAD"/>
    <w:rsid w:val="00C96E2E"/>
    <w:rsid w:val="00CC04E5"/>
    <w:rsid w:val="00D64240"/>
    <w:rsid w:val="00E65CCE"/>
    <w:rsid w:val="00E9493A"/>
    <w:rsid w:val="00EA3055"/>
    <w:rsid w:val="00EC7E23"/>
    <w:rsid w:val="00EE0A1C"/>
    <w:rsid w:val="00F60D57"/>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43D7"/>
  <w15:chartTrackingRefBased/>
  <w15:docId w15:val="{1A1766E8-161E-47BA-97F9-EFDFB64A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
    <w:next w:val="Normal"/>
    <w:uiPriority w:val="99"/>
    <w:rsid w:val="0046137F"/>
    <w:pPr>
      <w:autoSpaceDE w:val="0"/>
      <w:autoSpaceDN w:val="0"/>
      <w:adjustRightInd w:val="0"/>
      <w:spacing w:after="0" w:line="181" w:lineRule="atLeast"/>
    </w:pPr>
    <w:rPr>
      <w:rFonts w:ascii="Gotham Narrow Book" w:hAnsi="Gotham Narrow Book"/>
      <w:sz w:val="24"/>
      <w:szCs w:val="24"/>
    </w:rPr>
  </w:style>
  <w:style w:type="paragraph" w:styleId="ListParagraph">
    <w:name w:val="List Paragraph"/>
    <w:basedOn w:val="Normal"/>
    <w:uiPriority w:val="34"/>
    <w:qFormat/>
    <w:rsid w:val="0074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LTE Group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Brown</dc:creator>
  <cp:keywords/>
  <dc:description/>
  <cp:lastModifiedBy>Suzanne Greene</cp:lastModifiedBy>
  <cp:revision>3</cp:revision>
  <dcterms:created xsi:type="dcterms:W3CDTF">2020-08-19T14:33:00Z</dcterms:created>
  <dcterms:modified xsi:type="dcterms:W3CDTF">2020-08-19T14:52:00Z</dcterms:modified>
</cp:coreProperties>
</file>