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C96E2E" w:rsidTr="00FF52BC">
        <w:tc>
          <w:tcPr>
            <w:tcW w:w="9016" w:type="dxa"/>
            <w:gridSpan w:val="4"/>
            <w:shd w:val="clear" w:color="auto" w:fill="84C6D8"/>
          </w:tcPr>
          <w:p w:rsidR="00C96E2E" w:rsidRPr="00C96E2E" w:rsidRDefault="00BB7AE2" w:rsidP="00BB7AE2">
            <w:pPr>
              <w:rPr>
                <w:b/>
              </w:rPr>
            </w:pPr>
            <w:r>
              <w:rPr>
                <w:b/>
                <w:color w:val="FFFFFF" w:themeColor="background1"/>
              </w:rPr>
              <w:t>Supporting good practice in managing employment relations</w:t>
            </w:r>
            <w:r w:rsidR="0076290D">
              <w:rPr>
                <w:b/>
                <w:color w:val="FFFFFF" w:themeColor="background1"/>
              </w:rPr>
              <w:t xml:space="preserve"> </w:t>
            </w:r>
            <w:r w:rsidR="00C96E2E" w:rsidRPr="00C96E2E">
              <w:rPr>
                <w:b/>
                <w:color w:val="FFFFFF" w:themeColor="background1"/>
              </w:rPr>
              <w:t xml:space="preserve"> - </w:t>
            </w:r>
            <w:r>
              <w:rPr>
                <w:b/>
                <w:color w:val="FFFFFF" w:themeColor="background1"/>
              </w:rPr>
              <w:t>3MER</w:t>
            </w:r>
          </w:p>
        </w:tc>
      </w:tr>
      <w:tr w:rsidR="00C96E2E" w:rsidTr="00C96E2E">
        <w:tc>
          <w:tcPr>
            <w:tcW w:w="2254" w:type="dxa"/>
          </w:tcPr>
          <w:p w:rsidR="00C96E2E" w:rsidRDefault="00C96E2E">
            <w:r>
              <w:t>Learner Name:</w:t>
            </w:r>
          </w:p>
          <w:p w:rsidR="00C96E2E" w:rsidRDefault="00EC0D55">
            <w:r>
              <w:t>James Bancroft</w:t>
            </w:r>
          </w:p>
        </w:tc>
        <w:tc>
          <w:tcPr>
            <w:tcW w:w="2254" w:type="dxa"/>
          </w:tcPr>
          <w:p w:rsidR="00C96E2E" w:rsidRDefault="00C96E2E" w:rsidP="00C96E2E">
            <w:r>
              <w:t xml:space="preserve">Group: </w:t>
            </w:r>
            <w:r w:rsidR="00EC0D55">
              <w:t>LOLOCT20</w:t>
            </w:r>
          </w:p>
          <w:p w:rsidR="00C96E2E" w:rsidRDefault="00C96E2E" w:rsidP="00C96E2E"/>
          <w:p w:rsidR="00912029" w:rsidRDefault="00C96E2E" w:rsidP="00C96E2E">
            <w:r>
              <w:t>Tutor</w:t>
            </w:r>
            <w:r w:rsidR="00912029">
              <w:t xml:space="preserve"> Name</w:t>
            </w:r>
            <w:r>
              <w:t>:</w:t>
            </w:r>
            <w:r w:rsidR="00EC0D55">
              <w:t xml:space="preserve"> S Greene</w:t>
            </w:r>
          </w:p>
          <w:p w:rsidR="00912029" w:rsidRDefault="00912029" w:rsidP="00C96E2E"/>
          <w:p w:rsidR="00C96E2E" w:rsidRDefault="00912029" w:rsidP="00C96E2E">
            <w:r>
              <w:t>Tutor Signature:</w:t>
            </w:r>
            <w:r w:rsidR="00C96E2E">
              <w:t xml:space="preserve"> </w:t>
            </w:r>
          </w:p>
          <w:p w:rsidR="00EC0D55" w:rsidRDefault="00EC0D55" w:rsidP="00C96E2E"/>
          <w:p w:rsidR="00EC0D55" w:rsidRPr="00EC0D55" w:rsidRDefault="00EC0D55" w:rsidP="00C96E2E">
            <w:pPr>
              <w:rPr>
                <w:rFonts w:ascii="Brush Script MT" w:hAnsi="Brush Script MT"/>
                <w:sz w:val="32"/>
                <w:szCs w:val="32"/>
              </w:rPr>
            </w:pPr>
            <w:r w:rsidRPr="00EC0D55">
              <w:rPr>
                <w:rFonts w:ascii="Brush Script MT" w:hAnsi="Brush Script MT"/>
                <w:sz w:val="32"/>
                <w:szCs w:val="32"/>
              </w:rPr>
              <w:t>S Greene</w:t>
            </w:r>
          </w:p>
        </w:tc>
        <w:tc>
          <w:tcPr>
            <w:tcW w:w="2254" w:type="dxa"/>
          </w:tcPr>
          <w:p w:rsidR="00C96E2E" w:rsidRDefault="00C96E2E">
            <w:r>
              <w:t xml:space="preserve">Assessor Name: </w:t>
            </w:r>
          </w:p>
          <w:p w:rsidR="00912029" w:rsidRDefault="00912029"/>
          <w:p w:rsidR="00912029" w:rsidRDefault="00912029"/>
          <w:p w:rsidR="00912029" w:rsidRDefault="00912029">
            <w:r>
              <w:t xml:space="preserve">Assessor Signature: </w:t>
            </w:r>
          </w:p>
          <w:p w:rsidR="00C96E2E" w:rsidRPr="00C96E2E" w:rsidRDefault="00C96E2E" w:rsidP="00C96E2E">
            <w:pPr>
              <w:rPr>
                <w:i/>
              </w:rPr>
            </w:pPr>
            <w:r w:rsidRPr="00C96E2E">
              <w:rPr>
                <w:i/>
              </w:rPr>
              <w:t>(If different to delivery tutor)</w:t>
            </w:r>
          </w:p>
        </w:tc>
        <w:tc>
          <w:tcPr>
            <w:tcW w:w="2254" w:type="dxa"/>
          </w:tcPr>
          <w:p w:rsidR="00C96E2E" w:rsidRDefault="00C96E2E">
            <w:r>
              <w:t xml:space="preserve">Date: </w:t>
            </w:r>
            <w:r w:rsidR="00EC0D55">
              <w:t>08/12/20</w:t>
            </w:r>
          </w:p>
        </w:tc>
      </w:tr>
    </w:tbl>
    <w:p w:rsidR="003B4264" w:rsidRDefault="003B4264"/>
    <w:tbl>
      <w:tblPr>
        <w:tblStyle w:val="TableGrid"/>
        <w:tblW w:w="0" w:type="auto"/>
        <w:tblLook w:val="04A0" w:firstRow="1" w:lastRow="0" w:firstColumn="1" w:lastColumn="0" w:noHBand="0" w:noVBand="1"/>
      </w:tblPr>
      <w:tblGrid>
        <w:gridCol w:w="549"/>
        <w:gridCol w:w="4110"/>
        <w:gridCol w:w="1618"/>
        <w:gridCol w:w="2739"/>
      </w:tblGrid>
      <w:tr w:rsidR="008D2228" w:rsidTr="00FF52BC">
        <w:tc>
          <w:tcPr>
            <w:tcW w:w="5311" w:type="dxa"/>
            <w:gridSpan w:val="2"/>
            <w:shd w:val="clear" w:color="auto" w:fill="84C6D8"/>
          </w:tcPr>
          <w:p w:rsidR="00FF52BC" w:rsidRPr="003A341F" w:rsidRDefault="00FF52BC" w:rsidP="00BB7AE2">
            <w:pPr>
              <w:rPr>
                <w:b/>
                <w:color w:val="FFFFFF" w:themeColor="background1"/>
              </w:rPr>
            </w:pPr>
            <w:r w:rsidRPr="003A341F">
              <w:rPr>
                <w:b/>
                <w:color w:val="FFFFFF" w:themeColor="background1"/>
              </w:rPr>
              <w:t xml:space="preserve">Assessment criteria relating to unit </w:t>
            </w:r>
            <w:r w:rsidR="00BB7AE2">
              <w:rPr>
                <w:b/>
                <w:color w:val="FFFFFF" w:themeColor="background1"/>
              </w:rPr>
              <w:t>3MER</w:t>
            </w:r>
          </w:p>
        </w:tc>
        <w:tc>
          <w:tcPr>
            <w:tcW w:w="837" w:type="dxa"/>
            <w:shd w:val="clear" w:color="auto" w:fill="84C6D8"/>
          </w:tcPr>
          <w:p w:rsidR="00912029" w:rsidRDefault="00912029" w:rsidP="00912029">
            <w:pPr>
              <w:jc w:val="center"/>
              <w:rPr>
                <w:b/>
                <w:color w:val="FFFFFF" w:themeColor="background1"/>
              </w:rPr>
            </w:pPr>
            <w:r>
              <w:rPr>
                <w:b/>
                <w:color w:val="FFFFFF" w:themeColor="background1"/>
              </w:rPr>
              <w:t>Grade</w:t>
            </w:r>
          </w:p>
          <w:p w:rsidR="00FF52BC" w:rsidRPr="003A341F" w:rsidRDefault="00912029" w:rsidP="00912029">
            <w:pPr>
              <w:jc w:val="center"/>
              <w:rPr>
                <w:b/>
                <w:color w:val="FFFFFF" w:themeColor="background1"/>
              </w:rPr>
            </w:pPr>
            <w:r>
              <w:rPr>
                <w:b/>
                <w:color w:val="FFFFFF" w:themeColor="background1"/>
              </w:rPr>
              <w:t>Pass/Refer/Fail</w:t>
            </w:r>
          </w:p>
        </w:tc>
        <w:tc>
          <w:tcPr>
            <w:tcW w:w="2868" w:type="dxa"/>
            <w:shd w:val="clear" w:color="auto" w:fill="84C6D8"/>
          </w:tcPr>
          <w:p w:rsidR="00FF52BC" w:rsidRPr="003A341F" w:rsidRDefault="00FF52BC" w:rsidP="003A341F">
            <w:pPr>
              <w:jc w:val="center"/>
              <w:rPr>
                <w:b/>
                <w:color w:val="FFFFFF" w:themeColor="background1"/>
              </w:rPr>
            </w:pPr>
            <w:r w:rsidRPr="003A341F">
              <w:rPr>
                <w:b/>
                <w:color w:val="FFFFFF" w:themeColor="background1"/>
              </w:rPr>
              <w:t>Assessor Comments</w:t>
            </w:r>
          </w:p>
        </w:tc>
      </w:tr>
      <w:tr w:rsidR="008D2228" w:rsidTr="00FF52BC">
        <w:tc>
          <w:tcPr>
            <w:tcW w:w="562" w:type="dxa"/>
          </w:tcPr>
          <w:p w:rsidR="00FF52BC" w:rsidRDefault="00FF52BC">
            <w:r>
              <w:t>1.1</w:t>
            </w:r>
          </w:p>
        </w:tc>
        <w:tc>
          <w:tcPr>
            <w:tcW w:w="4749" w:type="dxa"/>
          </w:tcPr>
          <w:p w:rsidR="00FF52BC" w:rsidRDefault="00BB7AE2">
            <w:r>
              <w:t>Describe the internal and external factors that impact on the employment relationship.</w:t>
            </w:r>
          </w:p>
          <w:p w:rsidR="00FF52BC" w:rsidRDefault="00FF52BC"/>
        </w:tc>
        <w:tc>
          <w:tcPr>
            <w:tcW w:w="837" w:type="dxa"/>
          </w:tcPr>
          <w:p w:rsidR="00FF52BC" w:rsidRDefault="009C0AA4" w:rsidP="009C0AA4">
            <w:pPr>
              <w:jc w:val="center"/>
            </w:pPr>
            <w:r>
              <w:t>P</w:t>
            </w:r>
          </w:p>
        </w:tc>
        <w:tc>
          <w:tcPr>
            <w:tcW w:w="2868" w:type="dxa"/>
          </w:tcPr>
          <w:p w:rsidR="00FF52BC" w:rsidRDefault="009C0AA4">
            <w:r>
              <w:t xml:space="preserve">A minimum of two internal and two external factors which can impact on the employment relationship have been identified and explained.  </w:t>
            </w:r>
          </w:p>
          <w:p w:rsidR="009C0AA4" w:rsidRDefault="009C0AA4"/>
          <w:p w:rsidR="009C0AA4" w:rsidRDefault="009C0AA4" w:rsidP="009C0AA4">
            <w:pPr>
              <w:pStyle w:val="ListParagraph"/>
              <w:numPr>
                <w:ilvl w:val="0"/>
                <w:numId w:val="1"/>
              </w:numPr>
            </w:pPr>
            <w:r>
              <w:t>Leadership and culture</w:t>
            </w:r>
          </w:p>
          <w:p w:rsidR="009C0AA4" w:rsidRDefault="009C0AA4" w:rsidP="009C0AA4">
            <w:pPr>
              <w:pStyle w:val="ListParagraph"/>
              <w:numPr>
                <w:ilvl w:val="0"/>
                <w:numId w:val="1"/>
              </w:numPr>
            </w:pPr>
            <w:r>
              <w:t>Policies, procedures and the working environment</w:t>
            </w:r>
          </w:p>
          <w:p w:rsidR="009C0AA4" w:rsidRDefault="009C0AA4" w:rsidP="009C0AA4">
            <w:pPr>
              <w:pStyle w:val="ListParagraph"/>
              <w:numPr>
                <w:ilvl w:val="0"/>
                <w:numId w:val="1"/>
              </w:numPr>
            </w:pPr>
            <w:r>
              <w:t>Political factors and the current pandemic</w:t>
            </w:r>
          </w:p>
          <w:p w:rsidR="009C0AA4" w:rsidRDefault="009C0AA4" w:rsidP="009C0AA4">
            <w:pPr>
              <w:pStyle w:val="ListParagraph"/>
              <w:numPr>
                <w:ilvl w:val="0"/>
                <w:numId w:val="1"/>
              </w:numPr>
            </w:pPr>
            <w:r>
              <w:t xml:space="preserve">Social expectations such as well-being strategies, flexible working and the ageing workforce.  </w:t>
            </w:r>
          </w:p>
          <w:p w:rsidR="009C0AA4" w:rsidRDefault="009C0AA4" w:rsidP="009C0AA4"/>
          <w:p w:rsidR="009C0AA4" w:rsidRDefault="009C0AA4" w:rsidP="009C0AA4">
            <w:r>
              <w:t xml:space="preserve">Some good analysis provided of how the above impact on the employment relationship, well done.  </w:t>
            </w:r>
          </w:p>
        </w:tc>
      </w:tr>
      <w:tr w:rsidR="008D2228" w:rsidTr="00FF52BC">
        <w:tc>
          <w:tcPr>
            <w:tcW w:w="562" w:type="dxa"/>
          </w:tcPr>
          <w:p w:rsidR="00FF52BC" w:rsidRDefault="00BB7AE2">
            <w:r>
              <w:t>1.2</w:t>
            </w:r>
          </w:p>
        </w:tc>
        <w:tc>
          <w:tcPr>
            <w:tcW w:w="4749" w:type="dxa"/>
          </w:tcPr>
          <w:p w:rsidR="00FF52BC" w:rsidRDefault="00BB7AE2">
            <w:r>
              <w:t>Explain the different types of employment status.</w:t>
            </w:r>
          </w:p>
          <w:p w:rsidR="002408CB" w:rsidRDefault="002408CB"/>
          <w:p w:rsidR="00BB7AE2" w:rsidRDefault="00BB7AE2"/>
        </w:tc>
        <w:tc>
          <w:tcPr>
            <w:tcW w:w="837" w:type="dxa"/>
          </w:tcPr>
          <w:p w:rsidR="00FF52BC" w:rsidRDefault="009C0AA4" w:rsidP="009C0AA4">
            <w:pPr>
              <w:jc w:val="center"/>
            </w:pPr>
            <w:r>
              <w:t>P</w:t>
            </w:r>
          </w:p>
        </w:tc>
        <w:tc>
          <w:tcPr>
            <w:tcW w:w="2868" w:type="dxa"/>
          </w:tcPr>
          <w:p w:rsidR="009C0AA4" w:rsidRDefault="009C0AA4" w:rsidP="009C0AA4">
            <w:r>
              <w:t xml:space="preserve">You have explained three different types of employment status; </w:t>
            </w:r>
          </w:p>
          <w:p w:rsidR="009C0AA4" w:rsidRDefault="009C0AA4" w:rsidP="009C0AA4">
            <w:pPr>
              <w:pStyle w:val="ListParagraph"/>
            </w:pPr>
          </w:p>
          <w:p w:rsidR="009C0AA4" w:rsidRDefault="009C0AA4" w:rsidP="009C0AA4">
            <w:pPr>
              <w:pStyle w:val="ListParagraph"/>
              <w:numPr>
                <w:ilvl w:val="0"/>
                <w:numId w:val="2"/>
              </w:numPr>
            </w:pPr>
            <w:r>
              <w:t>Workers</w:t>
            </w:r>
          </w:p>
          <w:p w:rsidR="009C0AA4" w:rsidRDefault="009C0AA4" w:rsidP="009C0AA4">
            <w:pPr>
              <w:pStyle w:val="ListParagraph"/>
              <w:numPr>
                <w:ilvl w:val="0"/>
                <w:numId w:val="2"/>
              </w:numPr>
            </w:pPr>
            <w:r>
              <w:t>Employees</w:t>
            </w:r>
          </w:p>
          <w:p w:rsidR="009C0AA4" w:rsidRDefault="009C0AA4" w:rsidP="004E55A2">
            <w:pPr>
              <w:pStyle w:val="ListParagraph"/>
              <w:numPr>
                <w:ilvl w:val="0"/>
                <w:numId w:val="2"/>
              </w:numPr>
            </w:pPr>
            <w:r>
              <w:t>Self-employed</w:t>
            </w:r>
          </w:p>
          <w:p w:rsidR="009C0AA4" w:rsidRDefault="009C0AA4" w:rsidP="009C0AA4">
            <w:pPr>
              <w:pStyle w:val="ListParagraph"/>
            </w:pPr>
          </w:p>
          <w:p w:rsidR="00FF52BC" w:rsidRDefault="009C0AA4" w:rsidP="009C0AA4">
            <w:proofErr w:type="gramStart"/>
            <w:r>
              <w:t>and</w:t>
            </w:r>
            <w:proofErr w:type="gramEnd"/>
            <w:r>
              <w:t xml:space="preserve"> the various rights and entitlements of each.  </w:t>
            </w:r>
          </w:p>
        </w:tc>
      </w:tr>
      <w:tr w:rsidR="008D2228" w:rsidTr="00FF52BC">
        <w:tc>
          <w:tcPr>
            <w:tcW w:w="562" w:type="dxa"/>
          </w:tcPr>
          <w:p w:rsidR="00FF52BC" w:rsidRDefault="0084787A" w:rsidP="00117259">
            <w:r>
              <w:t>1.3</w:t>
            </w:r>
          </w:p>
        </w:tc>
        <w:tc>
          <w:tcPr>
            <w:tcW w:w="4749" w:type="dxa"/>
          </w:tcPr>
          <w:p w:rsidR="00FF52BC" w:rsidRDefault="0084787A">
            <w:r>
              <w:t>Identify and analyse the reasons why it is important to determine an individual’s employment status.</w:t>
            </w:r>
          </w:p>
          <w:p w:rsidR="002408CB" w:rsidRDefault="002408CB"/>
        </w:tc>
        <w:tc>
          <w:tcPr>
            <w:tcW w:w="837" w:type="dxa"/>
          </w:tcPr>
          <w:p w:rsidR="00FF52BC" w:rsidRDefault="009C0AA4" w:rsidP="009C0AA4">
            <w:pPr>
              <w:jc w:val="center"/>
            </w:pPr>
            <w:r>
              <w:t>P</w:t>
            </w:r>
          </w:p>
        </w:tc>
        <w:tc>
          <w:tcPr>
            <w:tcW w:w="2868" w:type="dxa"/>
          </w:tcPr>
          <w:p w:rsidR="009C0AA4" w:rsidRDefault="009C0AA4" w:rsidP="009C0AA4">
            <w:r>
              <w:t xml:space="preserve">A minimum of three reasons why it is important to determine an individual’s employment status have </w:t>
            </w:r>
            <w:r>
              <w:lastRenderedPageBreak/>
              <w:t>been identified and analysed;</w:t>
            </w:r>
          </w:p>
          <w:p w:rsidR="009C0AA4" w:rsidRDefault="009C0AA4" w:rsidP="009C0AA4"/>
          <w:p w:rsidR="009C0AA4" w:rsidRDefault="009C0AA4" w:rsidP="009C0AA4">
            <w:pPr>
              <w:pStyle w:val="ListParagraph"/>
              <w:numPr>
                <w:ilvl w:val="0"/>
                <w:numId w:val="3"/>
              </w:numPr>
            </w:pPr>
            <w:r>
              <w:t>To avoid escalation to an employment tribunal</w:t>
            </w:r>
            <w:r w:rsidR="00A52D9D">
              <w:t xml:space="preserve"> and incur financial consequences</w:t>
            </w:r>
          </w:p>
          <w:p w:rsidR="009C0AA4" w:rsidRDefault="009C0AA4" w:rsidP="009C0AA4">
            <w:pPr>
              <w:pStyle w:val="ListParagraph"/>
              <w:numPr>
                <w:ilvl w:val="0"/>
                <w:numId w:val="3"/>
              </w:numPr>
            </w:pPr>
            <w:r>
              <w:t xml:space="preserve">To ensure that the relevant </w:t>
            </w:r>
            <w:r w:rsidR="00A52D9D">
              <w:t>tax and pay arrangements are fulfilled</w:t>
            </w:r>
          </w:p>
          <w:p w:rsidR="00A52D9D" w:rsidRDefault="00A52D9D" w:rsidP="009C0AA4">
            <w:pPr>
              <w:pStyle w:val="ListParagraph"/>
              <w:numPr>
                <w:ilvl w:val="0"/>
                <w:numId w:val="3"/>
              </w:numPr>
            </w:pPr>
            <w:r>
              <w:t>To provide an harmonious relationship and one of mutual trust and transparency</w:t>
            </w:r>
          </w:p>
          <w:p w:rsidR="00A52D9D" w:rsidRDefault="00A52D9D" w:rsidP="00A52D9D"/>
          <w:p w:rsidR="00FF52BC" w:rsidRDefault="00A52D9D" w:rsidP="00A52D9D">
            <w:r>
              <w:t xml:space="preserve">You also draw upon the Uber case to justify your reasoning which was good.  </w:t>
            </w:r>
          </w:p>
        </w:tc>
      </w:tr>
      <w:tr w:rsidR="008D2228" w:rsidTr="00FF52BC">
        <w:tc>
          <w:tcPr>
            <w:tcW w:w="562" w:type="dxa"/>
          </w:tcPr>
          <w:p w:rsidR="00FF52BC" w:rsidRDefault="00FF52BC" w:rsidP="0084787A">
            <w:r>
              <w:lastRenderedPageBreak/>
              <w:t>2.</w:t>
            </w:r>
            <w:r w:rsidR="0084787A">
              <w:t>1</w:t>
            </w:r>
          </w:p>
        </w:tc>
        <w:tc>
          <w:tcPr>
            <w:tcW w:w="4749" w:type="dxa"/>
          </w:tcPr>
          <w:p w:rsidR="00FF52BC" w:rsidRDefault="0084787A">
            <w:r>
              <w:t xml:space="preserve">Explain the importance of work life balance within the employment relationship and how it can be influenced by legislation. </w:t>
            </w:r>
          </w:p>
          <w:p w:rsidR="002408CB" w:rsidRDefault="002408CB"/>
        </w:tc>
        <w:tc>
          <w:tcPr>
            <w:tcW w:w="837" w:type="dxa"/>
          </w:tcPr>
          <w:p w:rsidR="00FF52BC" w:rsidRPr="00783E45" w:rsidRDefault="007E5E82" w:rsidP="00A52D9D">
            <w:pPr>
              <w:jc w:val="center"/>
              <w:rPr>
                <w:strike/>
              </w:rPr>
            </w:pPr>
            <w:r w:rsidRPr="00783E45">
              <w:rPr>
                <w:strike/>
              </w:rPr>
              <w:t>R</w:t>
            </w:r>
          </w:p>
          <w:p w:rsidR="00783E45" w:rsidRDefault="00783E45" w:rsidP="00A52D9D">
            <w:pPr>
              <w:jc w:val="center"/>
            </w:pPr>
            <w:r>
              <w:t>P</w:t>
            </w:r>
          </w:p>
        </w:tc>
        <w:tc>
          <w:tcPr>
            <w:tcW w:w="2868" w:type="dxa"/>
          </w:tcPr>
          <w:p w:rsidR="00FF52BC" w:rsidRDefault="00A52D9D">
            <w:r>
              <w:t>You have explained the importance of work life balance within the employment relationship with regards to;</w:t>
            </w:r>
          </w:p>
          <w:p w:rsidR="00A52D9D" w:rsidRDefault="00A52D9D"/>
          <w:p w:rsidR="00A52D9D" w:rsidRDefault="00A52D9D" w:rsidP="00A52D9D">
            <w:pPr>
              <w:pStyle w:val="ListParagraph"/>
              <w:numPr>
                <w:ilvl w:val="0"/>
                <w:numId w:val="4"/>
              </w:numPr>
            </w:pPr>
            <w:r>
              <w:t>Holidays</w:t>
            </w:r>
          </w:p>
          <w:p w:rsidR="00A52D9D" w:rsidRDefault="00A52D9D" w:rsidP="00A52D9D">
            <w:pPr>
              <w:pStyle w:val="ListParagraph"/>
              <w:numPr>
                <w:ilvl w:val="0"/>
                <w:numId w:val="4"/>
              </w:numPr>
            </w:pPr>
            <w:r>
              <w:t>Rest periods</w:t>
            </w:r>
          </w:p>
          <w:p w:rsidR="00A52D9D" w:rsidRDefault="00A52D9D" w:rsidP="00A52D9D">
            <w:pPr>
              <w:pStyle w:val="ListParagraph"/>
              <w:numPr>
                <w:ilvl w:val="0"/>
                <w:numId w:val="4"/>
              </w:numPr>
            </w:pPr>
            <w:r>
              <w:t>Working hours</w:t>
            </w:r>
          </w:p>
          <w:p w:rsidR="00A52D9D" w:rsidRDefault="00A52D9D" w:rsidP="00A52D9D">
            <w:pPr>
              <w:pStyle w:val="ListParagraph"/>
              <w:numPr>
                <w:ilvl w:val="0"/>
                <w:numId w:val="4"/>
              </w:numPr>
            </w:pPr>
            <w:r>
              <w:t>Night working</w:t>
            </w:r>
          </w:p>
          <w:p w:rsidR="00A52D9D" w:rsidRDefault="00A52D9D" w:rsidP="00A52D9D"/>
          <w:p w:rsidR="007E5E82" w:rsidRDefault="007E5E82" w:rsidP="00A52D9D">
            <w:r>
              <w:t>You have also explained some of the benefits of work life balance which was good.  You could however hav</w:t>
            </w:r>
            <w:r w:rsidR="008D2228">
              <w:t xml:space="preserve">e also defined a night worker.  The minimum holiday entitlement is however 5.6 weeks statutory annual leave.  </w:t>
            </w:r>
          </w:p>
          <w:p w:rsidR="007E5E82" w:rsidRDefault="007E5E82" w:rsidP="00A52D9D"/>
          <w:p w:rsidR="00A52D9D" w:rsidRDefault="00A52D9D" w:rsidP="00A52D9D">
            <w:pPr>
              <w:rPr>
                <w:b/>
              </w:rPr>
            </w:pPr>
            <w:r w:rsidRPr="007E5E82">
              <w:rPr>
                <w:b/>
              </w:rPr>
              <w:t>Related legisla</w:t>
            </w:r>
            <w:r w:rsidR="007E5E82" w:rsidRPr="007E5E82">
              <w:rPr>
                <w:b/>
              </w:rPr>
              <w:t xml:space="preserve">tion such as The Working Time Regulations 1998 </w:t>
            </w:r>
            <w:proofErr w:type="spellStart"/>
            <w:r w:rsidR="00AB4984">
              <w:rPr>
                <w:b/>
              </w:rPr>
              <w:t>etc</w:t>
            </w:r>
            <w:proofErr w:type="spellEnd"/>
            <w:r w:rsidR="00AB4984">
              <w:rPr>
                <w:b/>
              </w:rPr>
              <w:t xml:space="preserve"> </w:t>
            </w:r>
            <w:r w:rsidR="007E5E82" w:rsidRPr="007E5E82">
              <w:rPr>
                <w:b/>
              </w:rPr>
              <w:t xml:space="preserve">now needs to be explained.  </w:t>
            </w:r>
          </w:p>
          <w:p w:rsidR="00783E45" w:rsidRDefault="00783E45" w:rsidP="00A52D9D">
            <w:pPr>
              <w:rPr>
                <w:b/>
              </w:rPr>
            </w:pPr>
          </w:p>
          <w:p w:rsidR="00783E45" w:rsidRPr="007E5E82" w:rsidRDefault="00783E45" w:rsidP="00A52D9D">
            <w:pPr>
              <w:rPr>
                <w:b/>
              </w:rPr>
            </w:pPr>
            <w:r>
              <w:rPr>
                <w:b/>
              </w:rPr>
              <w:t xml:space="preserve">This legislation has now been briefly explained.  </w:t>
            </w:r>
          </w:p>
        </w:tc>
      </w:tr>
      <w:tr w:rsidR="008D2228" w:rsidTr="00FF52BC">
        <w:tc>
          <w:tcPr>
            <w:tcW w:w="562" w:type="dxa"/>
          </w:tcPr>
          <w:p w:rsidR="00FF52BC" w:rsidRDefault="0084787A">
            <w:r>
              <w:t>2.2</w:t>
            </w:r>
          </w:p>
        </w:tc>
        <w:tc>
          <w:tcPr>
            <w:tcW w:w="4749" w:type="dxa"/>
          </w:tcPr>
          <w:p w:rsidR="00117259" w:rsidRDefault="0084787A">
            <w:r>
              <w:t>Summarise the legal support that may be given to employees as a family member.</w:t>
            </w:r>
          </w:p>
          <w:p w:rsidR="002408CB" w:rsidRDefault="002408CB"/>
        </w:tc>
        <w:tc>
          <w:tcPr>
            <w:tcW w:w="837" w:type="dxa"/>
          </w:tcPr>
          <w:p w:rsidR="00FF52BC" w:rsidRPr="00783E45" w:rsidRDefault="004439D6" w:rsidP="004439D6">
            <w:pPr>
              <w:jc w:val="center"/>
              <w:rPr>
                <w:strike/>
              </w:rPr>
            </w:pPr>
            <w:r w:rsidRPr="00783E45">
              <w:rPr>
                <w:strike/>
              </w:rPr>
              <w:lastRenderedPageBreak/>
              <w:t>R</w:t>
            </w:r>
          </w:p>
          <w:p w:rsidR="00783E45" w:rsidRDefault="00783E45" w:rsidP="004439D6">
            <w:pPr>
              <w:jc w:val="center"/>
            </w:pPr>
            <w:r>
              <w:t>P</w:t>
            </w:r>
          </w:p>
        </w:tc>
        <w:tc>
          <w:tcPr>
            <w:tcW w:w="2868" w:type="dxa"/>
          </w:tcPr>
          <w:p w:rsidR="008D2228" w:rsidRDefault="008D2228">
            <w:r>
              <w:t>The legal entitlements in relation to;</w:t>
            </w:r>
          </w:p>
          <w:p w:rsidR="008D2228" w:rsidRDefault="008D2228"/>
          <w:p w:rsidR="008D2228" w:rsidRDefault="008D2228" w:rsidP="008D2228">
            <w:pPr>
              <w:pStyle w:val="ListParagraph"/>
              <w:numPr>
                <w:ilvl w:val="0"/>
                <w:numId w:val="5"/>
              </w:numPr>
            </w:pPr>
            <w:r>
              <w:t>Maternity leave</w:t>
            </w:r>
          </w:p>
          <w:p w:rsidR="008D2228" w:rsidRDefault="008D2228" w:rsidP="008D2228">
            <w:pPr>
              <w:pStyle w:val="ListParagraph"/>
              <w:numPr>
                <w:ilvl w:val="0"/>
                <w:numId w:val="5"/>
              </w:numPr>
            </w:pPr>
            <w:r>
              <w:t>Paternity leave</w:t>
            </w:r>
          </w:p>
          <w:p w:rsidR="008D2228" w:rsidRDefault="004439D6" w:rsidP="008D2228">
            <w:pPr>
              <w:pStyle w:val="ListParagraph"/>
              <w:numPr>
                <w:ilvl w:val="0"/>
                <w:numId w:val="5"/>
              </w:numPr>
            </w:pPr>
            <w:r>
              <w:t>Adoption leave</w:t>
            </w:r>
          </w:p>
          <w:p w:rsidR="004439D6" w:rsidRDefault="004439D6" w:rsidP="004439D6">
            <w:pPr>
              <w:pStyle w:val="ListParagraph"/>
            </w:pPr>
          </w:p>
          <w:p w:rsidR="004439D6" w:rsidRDefault="00AB4984" w:rsidP="004439D6">
            <w:proofErr w:type="gramStart"/>
            <w:r>
              <w:t>h</w:t>
            </w:r>
            <w:r w:rsidR="004439D6">
              <w:t>ave</w:t>
            </w:r>
            <w:proofErr w:type="gramEnd"/>
            <w:r w:rsidR="004439D6">
              <w:t xml:space="preserve"> been explained.  You could have been more specific with regards to the concept of continuous service (26 weeks) as opposed to stating ‘enough continuous service’.  Some mention could also have been made to The Equality Act 2010 although this was alluded to.  </w:t>
            </w:r>
          </w:p>
          <w:p w:rsidR="004439D6" w:rsidRDefault="004439D6" w:rsidP="004439D6"/>
          <w:p w:rsidR="004439D6" w:rsidRPr="004439D6" w:rsidRDefault="004439D6" w:rsidP="004439D6">
            <w:pPr>
              <w:rPr>
                <w:b/>
              </w:rPr>
            </w:pPr>
            <w:r w:rsidRPr="004439D6">
              <w:rPr>
                <w:b/>
              </w:rPr>
              <w:t xml:space="preserve">You now to explain rights and responsibilities with regards to </w:t>
            </w:r>
          </w:p>
          <w:p w:rsidR="004439D6" w:rsidRPr="004439D6" w:rsidRDefault="008D2228" w:rsidP="004439D6">
            <w:pPr>
              <w:pStyle w:val="ListParagraph"/>
              <w:numPr>
                <w:ilvl w:val="0"/>
                <w:numId w:val="5"/>
              </w:numPr>
              <w:rPr>
                <w:b/>
              </w:rPr>
            </w:pPr>
            <w:r w:rsidRPr="004439D6">
              <w:rPr>
                <w:b/>
              </w:rPr>
              <w:t>Dependants leave</w:t>
            </w:r>
          </w:p>
          <w:p w:rsidR="004439D6" w:rsidRDefault="004439D6" w:rsidP="004439D6"/>
          <w:p w:rsidR="00FF52BC" w:rsidRDefault="004439D6" w:rsidP="004439D6">
            <w:pPr>
              <w:rPr>
                <w:b/>
              </w:rPr>
            </w:pPr>
            <w:r w:rsidRPr="004439D6">
              <w:rPr>
                <w:b/>
              </w:rPr>
              <w:t xml:space="preserve">You have however explained Shared parental leave.  This was not asked for in the question.  I would therefore take this out to avoid going over the word count.  </w:t>
            </w:r>
          </w:p>
          <w:p w:rsidR="00783E45" w:rsidRDefault="00783E45" w:rsidP="004439D6">
            <w:pPr>
              <w:rPr>
                <w:b/>
              </w:rPr>
            </w:pPr>
          </w:p>
          <w:p w:rsidR="00783E45" w:rsidRPr="004439D6" w:rsidRDefault="00783E45" w:rsidP="004439D6">
            <w:pPr>
              <w:rPr>
                <w:b/>
              </w:rPr>
            </w:pPr>
            <w:r>
              <w:rPr>
                <w:b/>
              </w:rPr>
              <w:t xml:space="preserve">Dependant’s leave has now been addressed.  </w:t>
            </w:r>
          </w:p>
        </w:tc>
      </w:tr>
      <w:tr w:rsidR="008D2228" w:rsidTr="00FF52BC">
        <w:tc>
          <w:tcPr>
            <w:tcW w:w="562" w:type="dxa"/>
          </w:tcPr>
          <w:p w:rsidR="00FF52BC" w:rsidRDefault="0084787A" w:rsidP="00FF52BC">
            <w:r>
              <w:lastRenderedPageBreak/>
              <w:t>2.3</w:t>
            </w:r>
          </w:p>
        </w:tc>
        <w:tc>
          <w:tcPr>
            <w:tcW w:w="4749" w:type="dxa"/>
          </w:tcPr>
          <w:p w:rsidR="00FF52BC" w:rsidRDefault="0084787A" w:rsidP="00FF52BC">
            <w:r>
              <w:t>Explain the reasons for treating employees fairly in relation to pay.</w:t>
            </w:r>
          </w:p>
          <w:p w:rsidR="002408CB" w:rsidRDefault="002408CB" w:rsidP="00FF52BC"/>
        </w:tc>
        <w:tc>
          <w:tcPr>
            <w:tcW w:w="837" w:type="dxa"/>
          </w:tcPr>
          <w:p w:rsidR="00FF52BC" w:rsidRDefault="004439D6" w:rsidP="004439D6">
            <w:pPr>
              <w:jc w:val="center"/>
            </w:pPr>
            <w:r>
              <w:t>P</w:t>
            </w:r>
          </w:p>
        </w:tc>
        <w:tc>
          <w:tcPr>
            <w:tcW w:w="2868" w:type="dxa"/>
          </w:tcPr>
          <w:p w:rsidR="00FF52BC" w:rsidRDefault="004439D6">
            <w:r>
              <w:t>A minimum of two reasons why employees should be treated fairly in relation to pay have been explained;</w:t>
            </w:r>
          </w:p>
          <w:p w:rsidR="004439D6" w:rsidRDefault="004439D6"/>
          <w:p w:rsidR="004439D6" w:rsidRDefault="004439D6" w:rsidP="004439D6">
            <w:pPr>
              <w:pStyle w:val="ListParagraph"/>
              <w:numPr>
                <w:ilvl w:val="0"/>
                <w:numId w:val="5"/>
              </w:numPr>
            </w:pPr>
            <w:r>
              <w:t>To avoid any cases of litigation and discrimination</w:t>
            </w:r>
          </w:p>
          <w:p w:rsidR="004439D6" w:rsidRDefault="004439D6" w:rsidP="004439D6">
            <w:pPr>
              <w:pStyle w:val="ListParagraph"/>
              <w:numPr>
                <w:ilvl w:val="0"/>
                <w:numId w:val="5"/>
              </w:numPr>
            </w:pPr>
            <w:r>
              <w:t>To be seen as a fair employer and maintain the morale and engagement of workers</w:t>
            </w:r>
          </w:p>
          <w:p w:rsidR="004439D6" w:rsidRDefault="004439D6" w:rsidP="004439D6">
            <w:pPr>
              <w:pStyle w:val="ListParagraph"/>
            </w:pPr>
          </w:p>
          <w:p w:rsidR="004439D6" w:rsidRDefault="004439D6" w:rsidP="004439D6">
            <w:r>
              <w:t>You have also made reference to the gender pay gap and executive p</w:t>
            </w:r>
            <w:r w:rsidR="00AB4984">
              <w:t xml:space="preserve">ay reporting for companies </w:t>
            </w:r>
            <w:r w:rsidR="00AB4984">
              <w:lastRenderedPageBreak/>
              <w:t>who</w:t>
            </w:r>
            <w:r>
              <w:t xml:space="preserve"> employ more than 250 staff which was good.  </w:t>
            </w:r>
          </w:p>
        </w:tc>
      </w:tr>
      <w:tr w:rsidR="008D2228" w:rsidTr="00FF52BC">
        <w:tc>
          <w:tcPr>
            <w:tcW w:w="562" w:type="dxa"/>
          </w:tcPr>
          <w:p w:rsidR="00E65CCE" w:rsidRDefault="0084787A" w:rsidP="00FF52BC">
            <w:r>
              <w:lastRenderedPageBreak/>
              <w:t>2.4</w:t>
            </w:r>
          </w:p>
        </w:tc>
        <w:tc>
          <w:tcPr>
            <w:tcW w:w="4749" w:type="dxa"/>
          </w:tcPr>
          <w:p w:rsidR="00E65CCE" w:rsidRDefault="0084787A" w:rsidP="00FF52BC">
            <w:r>
              <w:t>Summarise the main points of discrimination legislation.</w:t>
            </w:r>
          </w:p>
          <w:p w:rsidR="002408CB" w:rsidRDefault="002408CB" w:rsidP="00FF52BC"/>
        </w:tc>
        <w:tc>
          <w:tcPr>
            <w:tcW w:w="837" w:type="dxa"/>
          </w:tcPr>
          <w:p w:rsidR="00E65CCE" w:rsidRDefault="00337159" w:rsidP="00337159">
            <w:pPr>
              <w:jc w:val="center"/>
            </w:pPr>
            <w:r>
              <w:t>P</w:t>
            </w:r>
          </w:p>
        </w:tc>
        <w:tc>
          <w:tcPr>
            <w:tcW w:w="2868" w:type="dxa"/>
          </w:tcPr>
          <w:p w:rsidR="00E65CCE" w:rsidRDefault="004439D6">
            <w:r>
              <w:t xml:space="preserve">The main points of equalities legislation </w:t>
            </w:r>
            <w:r w:rsidR="00337159">
              <w:t>in relation to;</w:t>
            </w:r>
          </w:p>
          <w:p w:rsidR="00337159" w:rsidRDefault="00337159"/>
          <w:p w:rsidR="00337159" w:rsidRDefault="00337159" w:rsidP="00337159">
            <w:pPr>
              <w:pStyle w:val="ListParagraph"/>
              <w:numPr>
                <w:ilvl w:val="0"/>
                <w:numId w:val="6"/>
              </w:numPr>
            </w:pPr>
            <w:r>
              <w:t>Direct discrimination</w:t>
            </w:r>
          </w:p>
          <w:p w:rsidR="00337159" w:rsidRDefault="00337159" w:rsidP="00337159">
            <w:pPr>
              <w:pStyle w:val="ListParagraph"/>
              <w:numPr>
                <w:ilvl w:val="0"/>
                <w:numId w:val="6"/>
              </w:numPr>
            </w:pPr>
            <w:r>
              <w:t>Indirect discrimination</w:t>
            </w:r>
          </w:p>
          <w:p w:rsidR="00337159" w:rsidRDefault="00337159" w:rsidP="00337159">
            <w:pPr>
              <w:pStyle w:val="ListParagraph"/>
              <w:numPr>
                <w:ilvl w:val="0"/>
                <w:numId w:val="6"/>
              </w:numPr>
            </w:pPr>
            <w:r>
              <w:t>Harassment</w:t>
            </w:r>
          </w:p>
          <w:p w:rsidR="00337159" w:rsidRDefault="00337159" w:rsidP="00337159">
            <w:pPr>
              <w:pStyle w:val="ListParagraph"/>
              <w:numPr>
                <w:ilvl w:val="0"/>
                <w:numId w:val="6"/>
              </w:numPr>
            </w:pPr>
            <w:r>
              <w:t>Victimisation</w:t>
            </w:r>
          </w:p>
          <w:p w:rsidR="00337159" w:rsidRDefault="00337159" w:rsidP="00337159"/>
          <w:p w:rsidR="00337159" w:rsidRDefault="00AB4984" w:rsidP="00337159">
            <w:proofErr w:type="gramStart"/>
            <w:r>
              <w:t>h</w:t>
            </w:r>
            <w:r w:rsidR="00337159">
              <w:t>ave</w:t>
            </w:r>
            <w:proofErr w:type="gramEnd"/>
            <w:r w:rsidR="00337159">
              <w:t xml:space="preserve"> been explained.  You have drawn upon The Equality Act 2010 and defined each of the above with examples provided.  </w:t>
            </w:r>
          </w:p>
        </w:tc>
      </w:tr>
      <w:tr w:rsidR="008D2228" w:rsidTr="00FF52BC">
        <w:tc>
          <w:tcPr>
            <w:tcW w:w="562" w:type="dxa"/>
          </w:tcPr>
          <w:p w:rsidR="00E65CCE" w:rsidRDefault="002408CB" w:rsidP="00FF52BC">
            <w:r>
              <w:t>2.5</w:t>
            </w:r>
          </w:p>
        </w:tc>
        <w:tc>
          <w:tcPr>
            <w:tcW w:w="4749" w:type="dxa"/>
          </w:tcPr>
          <w:p w:rsidR="00E65CCE" w:rsidRDefault="002408CB" w:rsidP="00FF52BC">
            <w:r>
              <w:t>Explain the good practice that underpins organisational policies and can contribute to the psychological contract.</w:t>
            </w:r>
          </w:p>
          <w:p w:rsidR="002408CB" w:rsidRDefault="002408CB" w:rsidP="00FF52BC"/>
        </w:tc>
        <w:tc>
          <w:tcPr>
            <w:tcW w:w="837" w:type="dxa"/>
          </w:tcPr>
          <w:p w:rsidR="00E65CCE" w:rsidRDefault="0098617D" w:rsidP="0098617D">
            <w:pPr>
              <w:jc w:val="center"/>
            </w:pPr>
            <w:r>
              <w:t>P</w:t>
            </w:r>
          </w:p>
        </w:tc>
        <w:tc>
          <w:tcPr>
            <w:tcW w:w="2868" w:type="dxa"/>
          </w:tcPr>
          <w:p w:rsidR="00E65CCE" w:rsidRDefault="00337159">
            <w:r>
              <w:t xml:space="preserve">The concept, importance of benefits of a healthy psychological contract has been explained. The various policies in relation </w:t>
            </w:r>
            <w:proofErr w:type="gramStart"/>
            <w:r>
              <w:t>to  induction</w:t>
            </w:r>
            <w:proofErr w:type="gramEnd"/>
            <w:r>
              <w:t>, training</w:t>
            </w:r>
            <w:r w:rsidR="0098617D">
              <w:t xml:space="preserve"> and development</w:t>
            </w:r>
            <w:r>
              <w:t xml:space="preserve">, well-being and having clear rules and procedures which can contribute to this have been outlined.  </w:t>
            </w:r>
          </w:p>
          <w:p w:rsidR="0098617D" w:rsidRDefault="0098617D">
            <w:r>
              <w:t xml:space="preserve">It would have been useful to have included some practice from your own organisation to enhance this section.  </w:t>
            </w:r>
          </w:p>
        </w:tc>
      </w:tr>
      <w:tr w:rsidR="008D2228" w:rsidTr="00FF52BC">
        <w:tc>
          <w:tcPr>
            <w:tcW w:w="562" w:type="dxa"/>
          </w:tcPr>
          <w:p w:rsidR="002408CB" w:rsidRDefault="002408CB" w:rsidP="00FF52BC">
            <w:r>
              <w:t>3.1</w:t>
            </w:r>
          </w:p>
        </w:tc>
        <w:tc>
          <w:tcPr>
            <w:tcW w:w="4749" w:type="dxa"/>
          </w:tcPr>
          <w:p w:rsidR="002408CB" w:rsidRDefault="002408CB" w:rsidP="00FF52BC">
            <w:r>
              <w:t>Explain the differences between fair and unfair dismissals.</w:t>
            </w:r>
          </w:p>
          <w:p w:rsidR="002408CB" w:rsidRDefault="002408CB" w:rsidP="00FF52BC"/>
        </w:tc>
        <w:tc>
          <w:tcPr>
            <w:tcW w:w="837" w:type="dxa"/>
          </w:tcPr>
          <w:p w:rsidR="002408CB" w:rsidRDefault="0098617D" w:rsidP="0098617D">
            <w:pPr>
              <w:jc w:val="center"/>
            </w:pPr>
            <w:r>
              <w:t>P</w:t>
            </w:r>
          </w:p>
        </w:tc>
        <w:tc>
          <w:tcPr>
            <w:tcW w:w="2868" w:type="dxa"/>
          </w:tcPr>
          <w:p w:rsidR="002408CB" w:rsidRDefault="0098617D">
            <w:r>
              <w:t xml:space="preserve">The differences between fair and unfair dismissal with examples to support your reasoning have been explained.  </w:t>
            </w:r>
          </w:p>
          <w:p w:rsidR="0098617D" w:rsidRDefault="0098617D">
            <w:r>
              <w:t xml:space="preserve">You could however have clearly discussed the impact of both on the organisation.  </w:t>
            </w:r>
          </w:p>
        </w:tc>
      </w:tr>
      <w:tr w:rsidR="008D2228" w:rsidTr="00FF52BC">
        <w:tc>
          <w:tcPr>
            <w:tcW w:w="562" w:type="dxa"/>
          </w:tcPr>
          <w:p w:rsidR="002408CB" w:rsidRDefault="002408CB" w:rsidP="00FF52BC">
            <w:r>
              <w:t>3.2</w:t>
            </w:r>
          </w:p>
          <w:p w:rsidR="002408CB" w:rsidRDefault="002408CB" w:rsidP="00FF52BC"/>
        </w:tc>
        <w:tc>
          <w:tcPr>
            <w:tcW w:w="4749" w:type="dxa"/>
          </w:tcPr>
          <w:p w:rsidR="002408CB" w:rsidRDefault="002408CB" w:rsidP="00FF52BC">
            <w:r>
              <w:t>Explain the importance of exit interviews</w:t>
            </w:r>
          </w:p>
          <w:p w:rsidR="002408CB" w:rsidRDefault="002408CB" w:rsidP="00FF52BC"/>
          <w:p w:rsidR="002408CB" w:rsidRDefault="002408CB" w:rsidP="00FF52BC"/>
        </w:tc>
        <w:tc>
          <w:tcPr>
            <w:tcW w:w="837" w:type="dxa"/>
          </w:tcPr>
          <w:p w:rsidR="002408CB" w:rsidRDefault="0098617D" w:rsidP="0098617D">
            <w:pPr>
              <w:jc w:val="center"/>
            </w:pPr>
            <w:r>
              <w:t>P</w:t>
            </w:r>
          </w:p>
        </w:tc>
        <w:tc>
          <w:tcPr>
            <w:tcW w:w="2868" w:type="dxa"/>
          </w:tcPr>
          <w:p w:rsidR="0098617D" w:rsidRDefault="0098617D" w:rsidP="0098617D">
            <w:r>
              <w:t xml:space="preserve">The importance of exit interviews to both parties have been clearly illustrated and explained.  </w:t>
            </w:r>
            <w:r w:rsidR="00AB4984">
              <w:t xml:space="preserve">This was a </w:t>
            </w:r>
            <w:r>
              <w:t xml:space="preserve">good section well done.  </w:t>
            </w:r>
          </w:p>
          <w:p w:rsidR="002408CB" w:rsidRDefault="002408CB"/>
        </w:tc>
      </w:tr>
      <w:tr w:rsidR="008D2228" w:rsidTr="00FF52BC">
        <w:tc>
          <w:tcPr>
            <w:tcW w:w="562" w:type="dxa"/>
          </w:tcPr>
          <w:p w:rsidR="002408CB" w:rsidRDefault="002408CB" w:rsidP="00FF52BC">
            <w:r>
              <w:t>3.3</w:t>
            </w:r>
          </w:p>
        </w:tc>
        <w:tc>
          <w:tcPr>
            <w:tcW w:w="4749" w:type="dxa"/>
          </w:tcPr>
          <w:p w:rsidR="002408CB" w:rsidRDefault="002408CB" w:rsidP="00FF52BC">
            <w:r>
              <w:t>Summarise the key stages to be followed when managing redundancies.</w:t>
            </w:r>
          </w:p>
          <w:p w:rsidR="002408CB" w:rsidRDefault="002408CB" w:rsidP="00FF52BC"/>
        </w:tc>
        <w:tc>
          <w:tcPr>
            <w:tcW w:w="837" w:type="dxa"/>
          </w:tcPr>
          <w:p w:rsidR="002408CB" w:rsidRDefault="00856C48" w:rsidP="00856C48">
            <w:pPr>
              <w:jc w:val="center"/>
            </w:pPr>
            <w:r>
              <w:t>P</w:t>
            </w:r>
          </w:p>
        </w:tc>
        <w:tc>
          <w:tcPr>
            <w:tcW w:w="2868" w:type="dxa"/>
          </w:tcPr>
          <w:p w:rsidR="002408CB" w:rsidRDefault="0098617D">
            <w:r>
              <w:t xml:space="preserve">The key stages to be followed when managing </w:t>
            </w:r>
            <w:r>
              <w:lastRenderedPageBreak/>
              <w:t xml:space="preserve">redundancies have been summarised.  </w:t>
            </w:r>
          </w:p>
          <w:p w:rsidR="0098617D" w:rsidRDefault="0098617D">
            <w:r>
              <w:t xml:space="preserve">The impact of redundancy on the whole organisation has also been </w:t>
            </w:r>
            <w:r w:rsidR="00856C48">
              <w:t xml:space="preserve">explained which was good.  </w:t>
            </w:r>
          </w:p>
        </w:tc>
      </w:tr>
      <w:tr w:rsidR="009603DC" w:rsidTr="00315CF8">
        <w:tc>
          <w:tcPr>
            <w:tcW w:w="9016" w:type="dxa"/>
            <w:gridSpan w:val="4"/>
          </w:tcPr>
          <w:p w:rsidR="006204A4" w:rsidRDefault="006204A4" w:rsidP="00FF52BC">
            <w:r>
              <w:lastRenderedPageBreak/>
              <w:t xml:space="preserve">This assessment should be presented as a </w:t>
            </w:r>
            <w:r w:rsidR="002408CB">
              <w:t xml:space="preserve">written guidance leaflet.  </w:t>
            </w:r>
          </w:p>
          <w:p w:rsidR="006204A4" w:rsidRDefault="006204A4" w:rsidP="00FF52BC">
            <w:r>
              <w:t xml:space="preserve">Word count </w:t>
            </w:r>
            <w:r w:rsidR="002408CB">
              <w:t xml:space="preserve">3000 </w:t>
            </w:r>
            <w:r>
              <w:t xml:space="preserve">words. </w:t>
            </w:r>
          </w:p>
          <w:p w:rsidR="006204A4" w:rsidRDefault="006204A4" w:rsidP="00FF52BC"/>
          <w:p w:rsidR="009603DC" w:rsidRDefault="009603DC" w:rsidP="00FF52BC"/>
          <w:p w:rsidR="009603DC" w:rsidRDefault="009603DC"/>
        </w:tc>
      </w:tr>
    </w:tbl>
    <w:p w:rsidR="00C96E2E" w:rsidRDefault="00C96E2E"/>
    <w:tbl>
      <w:tblPr>
        <w:tblStyle w:val="TableGrid"/>
        <w:tblW w:w="0" w:type="auto"/>
        <w:tblLook w:val="04A0" w:firstRow="1" w:lastRow="0" w:firstColumn="1" w:lastColumn="0" w:noHBand="0" w:noVBand="1"/>
      </w:tblPr>
      <w:tblGrid>
        <w:gridCol w:w="4508"/>
        <w:gridCol w:w="4508"/>
      </w:tblGrid>
      <w:tr w:rsidR="00C96E2E" w:rsidTr="00FF52BC">
        <w:tc>
          <w:tcPr>
            <w:tcW w:w="4508" w:type="dxa"/>
            <w:shd w:val="clear" w:color="auto" w:fill="84C6D8"/>
          </w:tcPr>
          <w:p w:rsidR="00C96E2E" w:rsidRDefault="00C96E2E" w:rsidP="00FF52BC">
            <w:pPr>
              <w:rPr>
                <w:b/>
                <w:color w:val="FFFFFF" w:themeColor="background1"/>
              </w:rPr>
            </w:pPr>
            <w:r w:rsidRPr="00912029">
              <w:rPr>
                <w:b/>
                <w:color w:val="FFFFFF" w:themeColor="background1"/>
              </w:rPr>
              <w:t>Assessment Decision (Pass/Refer</w:t>
            </w:r>
            <w:r w:rsidR="00912029" w:rsidRPr="00912029">
              <w:rPr>
                <w:b/>
                <w:color w:val="FFFFFF" w:themeColor="background1"/>
              </w:rPr>
              <w:t>/Fail</w:t>
            </w:r>
            <w:r w:rsidRPr="00912029">
              <w:rPr>
                <w:b/>
                <w:color w:val="FFFFFF" w:themeColor="background1"/>
              </w:rPr>
              <w:t>)</w:t>
            </w:r>
          </w:p>
          <w:p w:rsidR="008D1982" w:rsidRDefault="008D1982" w:rsidP="00FF52BC">
            <w:pPr>
              <w:rPr>
                <w:b/>
                <w:color w:val="FFFFFF" w:themeColor="background1"/>
              </w:rPr>
            </w:pPr>
          </w:p>
          <w:p w:rsidR="008D1982" w:rsidRDefault="008D1982" w:rsidP="00FF52BC">
            <w:pPr>
              <w:rPr>
                <w:b/>
                <w:color w:val="FFFFFF" w:themeColor="background1"/>
              </w:rPr>
            </w:pPr>
            <w:r w:rsidRPr="00783E45">
              <w:rPr>
                <w:b/>
                <w:strike/>
                <w:color w:val="FFFFFF" w:themeColor="background1"/>
              </w:rPr>
              <w:t xml:space="preserve">REFER </w:t>
            </w:r>
            <w:r>
              <w:rPr>
                <w:b/>
                <w:color w:val="FFFFFF" w:themeColor="background1"/>
              </w:rPr>
              <w:t xml:space="preserve">– just a couple of sections to improve James.  </w:t>
            </w:r>
          </w:p>
          <w:p w:rsidR="00783E45" w:rsidRDefault="00783E45" w:rsidP="00FF52BC">
            <w:pPr>
              <w:rPr>
                <w:b/>
                <w:color w:val="FFFFFF" w:themeColor="background1"/>
              </w:rPr>
            </w:pPr>
          </w:p>
          <w:p w:rsidR="00783E45" w:rsidRPr="00912029" w:rsidRDefault="00783E45" w:rsidP="00FF52BC">
            <w:pPr>
              <w:rPr>
                <w:b/>
                <w:color w:val="FFFFFF" w:themeColor="background1"/>
              </w:rPr>
            </w:pPr>
            <w:r>
              <w:rPr>
                <w:b/>
                <w:color w:val="FFFFFF" w:themeColor="background1"/>
              </w:rPr>
              <w:t>PASS</w:t>
            </w:r>
            <w:bookmarkStart w:id="0" w:name="_GoBack"/>
            <w:bookmarkEnd w:id="0"/>
          </w:p>
          <w:p w:rsidR="003A341F" w:rsidRPr="00912029" w:rsidRDefault="003A341F">
            <w:pPr>
              <w:rPr>
                <w:b/>
                <w:color w:val="FFFFFF" w:themeColor="background1"/>
              </w:rPr>
            </w:pPr>
          </w:p>
        </w:tc>
        <w:tc>
          <w:tcPr>
            <w:tcW w:w="4508" w:type="dxa"/>
          </w:tcPr>
          <w:p w:rsidR="00C96E2E" w:rsidRPr="00912029" w:rsidRDefault="00C96E2E">
            <w:pPr>
              <w:rPr>
                <w:color w:val="FFFFFF" w:themeColor="background1"/>
              </w:rPr>
            </w:pPr>
          </w:p>
          <w:p w:rsidR="005B6C1E" w:rsidRPr="00912029" w:rsidRDefault="005B6C1E">
            <w:pPr>
              <w:rPr>
                <w:color w:val="FFFFFF" w:themeColor="background1"/>
              </w:rPr>
            </w:pPr>
          </w:p>
          <w:p w:rsidR="005B6C1E" w:rsidRPr="00912029" w:rsidRDefault="005B6C1E">
            <w:pPr>
              <w:rPr>
                <w:color w:val="FFFFFF" w:themeColor="background1"/>
              </w:rPr>
            </w:pPr>
          </w:p>
          <w:p w:rsidR="005B6C1E" w:rsidRPr="00912029" w:rsidRDefault="005B6C1E" w:rsidP="005B6C1E">
            <w:pPr>
              <w:rPr>
                <w:color w:val="FFFFFF" w:themeColor="background1"/>
              </w:rPr>
            </w:pPr>
          </w:p>
        </w:tc>
      </w:tr>
      <w:tr w:rsidR="00C96E2E" w:rsidTr="00FF52BC">
        <w:tc>
          <w:tcPr>
            <w:tcW w:w="4508" w:type="dxa"/>
            <w:shd w:val="clear" w:color="auto" w:fill="84C6D8"/>
          </w:tcPr>
          <w:p w:rsidR="00C96E2E" w:rsidRPr="00912029" w:rsidRDefault="00C96E2E" w:rsidP="003A341F">
            <w:pPr>
              <w:rPr>
                <w:b/>
                <w:color w:val="FFFFFF" w:themeColor="background1"/>
              </w:rPr>
            </w:pPr>
            <w:r w:rsidRPr="00912029">
              <w:rPr>
                <w:b/>
                <w:color w:val="FFFFFF" w:themeColor="background1"/>
              </w:rPr>
              <w:t>Strengths</w:t>
            </w:r>
          </w:p>
          <w:p w:rsidR="003A341F" w:rsidRPr="00912029" w:rsidRDefault="003A341F" w:rsidP="003A341F">
            <w:pPr>
              <w:rPr>
                <w:b/>
                <w:color w:val="FFFFFF" w:themeColor="background1"/>
              </w:rPr>
            </w:pPr>
          </w:p>
        </w:tc>
        <w:tc>
          <w:tcPr>
            <w:tcW w:w="4508" w:type="dxa"/>
            <w:shd w:val="clear" w:color="auto" w:fill="84C6D8"/>
          </w:tcPr>
          <w:p w:rsidR="00C96E2E" w:rsidRPr="00912029" w:rsidRDefault="00C96E2E" w:rsidP="003A341F">
            <w:pPr>
              <w:rPr>
                <w:b/>
                <w:color w:val="FFFFFF" w:themeColor="background1"/>
              </w:rPr>
            </w:pPr>
            <w:r w:rsidRPr="00912029">
              <w:rPr>
                <w:b/>
                <w:color w:val="FFFFFF" w:themeColor="background1"/>
              </w:rPr>
              <w:t>Areas for Improvement</w:t>
            </w:r>
          </w:p>
        </w:tc>
      </w:tr>
      <w:tr w:rsidR="008D1982" w:rsidTr="00C96E2E">
        <w:tc>
          <w:tcPr>
            <w:tcW w:w="4508" w:type="dxa"/>
          </w:tcPr>
          <w:p w:rsidR="008D1982" w:rsidRDefault="008D1982" w:rsidP="008D1982"/>
          <w:p w:rsidR="008D1982" w:rsidRDefault="008D1982" w:rsidP="008D1982"/>
          <w:p w:rsidR="008D1982" w:rsidRDefault="00AB4984" w:rsidP="008D1982">
            <w:pPr>
              <w:pStyle w:val="ListParagraph"/>
              <w:numPr>
                <w:ilvl w:val="0"/>
                <w:numId w:val="7"/>
              </w:numPr>
            </w:pPr>
            <w:r>
              <w:t xml:space="preserve">The majority of the </w:t>
            </w:r>
            <w:r w:rsidR="008D1982">
              <w:t>assessment criteria has b</w:t>
            </w:r>
            <w:r>
              <w:t xml:space="preserve">een </w:t>
            </w:r>
            <w:r w:rsidR="008D1982">
              <w:t>addressed.</w:t>
            </w:r>
          </w:p>
          <w:p w:rsidR="008D1982" w:rsidRDefault="008D1982" w:rsidP="008D1982">
            <w:pPr>
              <w:pStyle w:val="ListParagraph"/>
              <w:numPr>
                <w:ilvl w:val="0"/>
                <w:numId w:val="7"/>
              </w:numPr>
            </w:pPr>
            <w:r>
              <w:t>You</w:t>
            </w:r>
            <w:r w:rsidR="00AB4984">
              <w:t xml:space="preserve"> have provided sub headings to provide structure to your guidance leaflet.</w:t>
            </w:r>
          </w:p>
          <w:p w:rsidR="008D1982" w:rsidRDefault="008D1982" w:rsidP="008D1982">
            <w:pPr>
              <w:pStyle w:val="ListParagraph"/>
              <w:numPr>
                <w:ilvl w:val="0"/>
                <w:numId w:val="7"/>
              </w:numPr>
            </w:pPr>
            <w:r>
              <w:t>Some effective use of workplace examples have been provided to demonstrate knowledge and understanding.</w:t>
            </w:r>
          </w:p>
          <w:p w:rsidR="008D1982" w:rsidRDefault="000F0D46" w:rsidP="008D1982">
            <w:pPr>
              <w:pStyle w:val="ListParagraph"/>
              <w:numPr>
                <w:ilvl w:val="0"/>
                <w:numId w:val="7"/>
              </w:numPr>
            </w:pPr>
            <w:r>
              <w:t xml:space="preserve">A </w:t>
            </w:r>
            <w:r w:rsidR="00AB4984">
              <w:t>bibliography has been provided.</w:t>
            </w:r>
          </w:p>
          <w:p w:rsidR="00AB4984" w:rsidRDefault="00AB4984" w:rsidP="00A51A60">
            <w:pPr>
              <w:pStyle w:val="ListParagraph"/>
              <w:numPr>
                <w:ilvl w:val="0"/>
                <w:numId w:val="7"/>
              </w:numPr>
            </w:pPr>
            <w:r>
              <w:t xml:space="preserve">You have </w:t>
            </w:r>
            <w:r w:rsidR="008D1982">
              <w:t xml:space="preserve">drawn upon </w:t>
            </w:r>
            <w:r>
              <w:t xml:space="preserve">some </w:t>
            </w:r>
            <w:r w:rsidR="008D1982">
              <w:t xml:space="preserve">best practice, legislation and a case study to add value to your work. </w:t>
            </w:r>
          </w:p>
          <w:p w:rsidR="008D1982" w:rsidRDefault="00AB4984" w:rsidP="00A51A60">
            <w:pPr>
              <w:pStyle w:val="ListParagraph"/>
              <w:numPr>
                <w:ilvl w:val="0"/>
                <w:numId w:val="7"/>
              </w:numPr>
            </w:pPr>
            <w:r>
              <w:t xml:space="preserve">Your work has been submitted within the word count.  </w:t>
            </w:r>
            <w:r w:rsidR="008D1982">
              <w:t xml:space="preserve"> </w:t>
            </w:r>
          </w:p>
          <w:p w:rsidR="008D1982" w:rsidRDefault="008D1982" w:rsidP="008D1982"/>
        </w:tc>
        <w:tc>
          <w:tcPr>
            <w:tcW w:w="4508" w:type="dxa"/>
          </w:tcPr>
          <w:p w:rsidR="008D1982" w:rsidRDefault="008D1982" w:rsidP="008D1982"/>
          <w:p w:rsidR="008D1982" w:rsidRDefault="008D1982" w:rsidP="008D1982"/>
          <w:p w:rsidR="00AB4984" w:rsidRDefault="00AB4984" w:rsidP="008D1982">
            <w:pPr>
              <w:pStyle w:val="ListParagraph"/>
              <w:numPr>
                <w:ilvl w:val="0"/>
                <w:numId w:val="7"/>
              </w:numPr>
            </w:pPr>
            <w:r>
              <w:t xml:space="preserve">Ensure that you comprehensively address all aspects of the assessment criteria.  </w:t>
            </w:r>
          </w:p>
          <w:p w:rsidR="00AB4984" w:rsidRDefault="00AB4984" w:rsidP="008D1982">
            <w:pPr>
              <w:pStyle w:val="ListParagraph"/>
              <w:numPr>
                <w:ilvl w:val="0"/>
                <w:numId w:val="7"/>
              </w:numPr>
            </w:pPr>
            <w:r>
              <w:t xml:space="preserve">More use of imagery in places could have been provided to engage your audience further.  </w:t>
            </w:r>
          </w:p>
          <w:p w:rsidR="00AB4984" w:rsidRDefault="008D1982" w:rsidP="00AB4984">
            <w:pPr>
              <w:pStyle w:val="ListParagraph"/>
              <w:numPr>
                <w:ilvl w:val="0"/>
                <w:numId w:val="7"/>
              </w:numPr>
            </w:pPr>
            <w:r>
              <w:t>Try and reference your sources within</w:t>
            </w:r>
            <w:r w:rsidR="00AB4984">
              <w:t xml:space="preserve"> the main body of your assessments and compile your bibliography accurately and in full according to the Harvard Referencing style.  </w:t>
            </w:r>
          </w:p>
          <w:p w:rsidR="008D1982" w:rsidRDefault="008D1982" w:rsidP="00AB4984">
            <w:pPr>
              <w:pStyle w:val="ListParagraph"/>
            </w:pPr>
          </w:p>
        </w:tc>
      </w:tr>
    </w:tbl>
    <w:p w:rsidR="00C96E2E" w:rsidRDefault="00C96E2E"/>
    <w:p w:rsidR="00912029" w:rsidRDefault="00912029">
      <w:r>
        <w:rPr>
          <w:rFonts w:ascii="Arial" w:hAnsi="Arial" w:cs="Arial"/>
          <w:bCs/>
          <w:i/>
          <w:color w:val="00AAA5"/>
          <w:sz w:val="20"/>
          <w:szCs w:val="20"/>
        </w:rPr>
        <w:t>Students receiving a refer mark have 1 week from the date feedback was provided on the VLE to upload their resubmission, unless otherwise agreed with MOL.</w:t>
      </w:r>
    </w:p>
    <w:sectPr w:rsidR="0091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3C4"/>
    <w:multiLevelType w:val="hybridMultilevel"/>
    <w:tmpl w:val="5D5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26CAB"/>
    <w:multiLevelType w:val="hybridMultilevel"/>
    <w:tmpl w:val="6B18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67953"/>
    <w:multiLevelType w:val="hybridMultilevel"/>
    <w:tmpl w:val="9346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B7BA8"/>
    <w:multiLevelType w:val="hybridMultilevel"/>
    <w:tmpl w:val="3FAC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3797E"/>
    <w:multiLevelType w:val="hybridMultilevel"/>
    <w:tmpl w:val="6494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85957"/>
    <w:multiLevelType w:val="hybridMultilevel"/>
    <w:tmpl w:val="737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D7942"/>
    <w:multiLevelType w:val="hybridMultilevel"/>
    <w:tmpl w:val="FE4C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2E"/>
    <w:rsid w:val="000F0D46"/>
    <w:rsid w:val="00117259"/>
    <w:rsid w:val="002408CB"/>
    <w:rsid w:val="00247534"/>
    <w:rsid w:val="00337159"/>
    <w:rsid w:val="003A341F"/>
    <w:rsid w:val="003B4264"/>
    <w:rsid w:val="004439D6"/>
    <w:rsid w:val="005B6C1E"/>
    <w:rsid w:val="006204A4"/>
    <w:rsid w:val="0076290D"/>
    <w:rsid w:val="00783E45"/>
    <w:rsid w:val="007E5E82"/>
    <w:rsid w:val="0084787A"/>
    <w:rsid w:val="00856C48"/>
    <w:rsid w:val="008D1982"/>
    <w:rsid w:val="008D2228"/>
    <w:rsid w:val="00912029"/>
    <w:rsid w:val="009603DC"/>
    <w:rsid w:val="0098617D"/>
    <w:rsid w:val="009C0AA4"/>
    <w:rsid w:val="00A52D9D"/>
    <w:rsid w:val="00AB4984"/>
    <w:rsid w:val="00B25E2B"/>
    <w:rsid w:val="00BB7AE2"/>
    <w:rsid w:val="00C96E2E"/>
    <w:rsid w:val="00CC04E5"/>
    <w:rsid w:val="00D9653F"/>
    <w:rsid w:val="00E65CCE"/>
    <w:rsid w:val="00EC0D55"/>
    <w:rsid w:val="00EE0A1C"/>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7AC4"/>
  <w15:chartTrackingRefBased/>
  <w15:docId w15:val="{1A1766E8-161E-47BA-97F9-EFDFB64A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LTE Group</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Brown</dc:creator>
  <cp:keywords/>
  <dc:description/>
  <cp:lastModifiedBy>Suzanne Greene</cp:lastModifiedBy>
  <cp:revision>9</cp:revision>
  <dcterms:created xsi:type="dcterms:W3CDTF">2020-12-08T08:43:00Z</dcterms:created>
  <dcterms:modified xsi:type="dcterms:W3CDTF">2020-12-16T15:47:00Z</dcterms:modified>
</cp:coreProperties>
</file>